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FBD58">
      <w:pPr>
        <w:spacing w:before="652" w:beforeLines="200"/>
        <w:jc w:val="center"/>
        <w:rPr>
          <w:rFonts w:hint="eastAsia" w:ascii="宋体" w:hAnsi="宋体"/>
          <w:b/>
          <w:sz w:val="44"/>
          <w:szCs w:val="44"/>
        </w:rPr>
      </w:pPr>
      <w:r>
        <w:rPr>
          <w:rFonts w:hint="eastAsia" w:ascii="宋体" w:hAnsi="宋体"/>
          <w:b/>
          <w:sz w:val="44"/>
          <w:szCs w:val="44"/>
        </w:rPr>
        <w:t>黄山首康医院</w:t>
      </w:r>
    </w:p>
    <w:p w14:paraId="524FA77E">
      <w:pPr>
        <w:spacing w:before="652" w:beforeLines="200"/>
        <w:ind w:left="-120" w:leftChars="-50" w:right="-120" w:rightChars="-50"/>
        <w:jc w:val="center"/>
        <w:rPr>
          <w:rFonts w:hint="eastAsia" w:ascii="宋体" w:hAnsi="宋体"/>
          <w:b/>
          <w:sz w:val="44"/>
          <w:szCs w:val="44"/>
        </w:rPr>
      </w:pPr>
      <w:r>
        <w:rPr>
          <w:rFonts w:hint="eastAsia" w:ascii="宋体" w:hAnsi="宋体"/>
          <w:b/>
          <w:sz w:val="44"/>
          <w:szCs w:val="44"/>
        </w:rPr>
        <w:t>DIP运营管理系统项目</w:t>
      </w:r>
    </w:p>
    <w:p w14:paraId="54D97466">
      <w:pPr>
        <w:pStyle w:val="14"/>
        <w:rPr>
          <w:rFonts w:hint="eastAsia" w:hAnsi="宋体"/>
          <w:b/>
          <w:color w:val="auto"/>
          <w:sz w:val="52"/>
          <w:szCs w:val="52"/>
        </w:rPr>
      </w:pPr>
    </w:p>
    <w:p w14:paraId="35534EE9">
      <w:pPr>
        <w:pStyle w:val="14"/>
        <w:rPr>
          <w:rFonts w:hint="eastAsia" w:hAnsi="宋体"/>
          <w:b/>
          <w:color w:val="auto"/>
          <w:sz w:val="52"/>
          <w:szCs w:val="52"/>
        </w:rPr>
      </w:pPr>
    </w:p>
    <w:p w14:paraId="58072306">
      <w:pPr>
        <w:jc w:val="center"/>
        <w:rPr>
          <w:rFonts w:hint="eastAsia" w:ascii="宋体" w:hAnsi="宋体"/>
          <w:b/>
          <w:bCs/>
          <w:sz w:val="52"/>
          <w:szCs w:val="52"/>
        </w:rPr>
      </w:pPr>
      <w:r>
        <w:rPr>
          <w:rFonts w:hint="eastAsia" w:ascii="宋体" w:hAnsi="宋体"/>
          <w:b/>
          <w:bCs/>
          <w:sz w:val="52"/>
          <w:szCs w:val="52"/>
        </w:rPr>
        <w:t>招标参数文件</w:t>
      </w:r>
    </w:p>
    <w:p w14:paraId="24D789FA">
      <w:pPr>
        <w:spacing w:before="1467" w:beforeLines="450"/>
        <w:jc w:val="center"/>
        <w:rPr>
          <w:rFonts w:hint="eastAsia" w:ascii="宋体" w:hAnsi="宋体"/>
          <w:b/>
          <w:sz w:val="28"/>
          <w:szCs w:val="28"/>
        </w:rPr>
      </w:pPr>
    </w:p>
    <w:p w14:paraId="7BD50BC4">
      <w:pPr>
        <w:pStyle w:val="14"/>
        <w:rPr>
          <w:rFonts w:hint="eastAsia" w:hAnsi="宋体"/>
          <w:color w:val="auto"/>
        </w:rPr>
      </w:pPr>
    </w:p>
    <w:p w14:paraId="37315723">
      <w:pPr>
        <w:pStyle w:val="14"/>
        <w:rPr>
          <w:rFonts w:hint="eastAsia" w:hAnsi="宋体"/>
          <w:color w:val="auto"/>
        </w:rPr>
      </w:pPr>
    </w:p>
    <w:p w14:paraId="7AE8BA25">
      <w:pPr>
        <w:pStyle w:val="14"/>
        <w:rPr>
          <w:rFonts w:hint="eastAsia" w:hAnsi="宋体"/>
          <w:color w:val="auto"/>
        </w:rPr>
      </w:pPr>
    </w:p>
    <w:p w14:paraId="4D3A14E0">
      <w:pPr>
        <w:pStyle w:val="14"/>
        <w:rPr>
          <w:rFonts w:hint="eastAsia" w:hAnsi="宋体"/>
          <w:color w:val="auto"/>
        </w:rPr>
      </w:pPr>
    </w:p>
    <w:p w14:paraId="483FC3E5">
      <w:pPr>
        <w:pStyle w:val="14"/>
        <w:rPr>
          <w:rFonts w:hint="eastAsia" w:hAnsi="宋体"/>
          <w:color w:val="auto"/>
        </w:rPr>
      </w:pPr>
    </w:p>
    <w:p w14:paraId="514AFEF5">
      <w:pPr>
        <w:pStyle w:val="14"/>
        <w:rPr>
          <w:rFonts w:hint="eastAsia" w:hAnsi="宋体"/>
          <w:color w:val="auto"/>
        </w:rPr>
      </w:pPr>
    </w:p>
    <w:p w14:paraId="4523E3E1">
      <w:pPr>
        <w:pStyle w:val="14"/>
        <w:rPr>
          <w:rFonts w:hint="eastAsia" w:hAnsi="宋体"/>
          <w:color w:val="auto"/>
        </w:rPr>
      </w:pPr>
    </w:p>
    <w:p w14:paraId="0CEA17A4">
      <w:pPr>
        <w:pStyle w:val="14"/>
        <w:rPr>
          <w:rFonts w:hint="eastAsia" w:hAnsi="宋体"/>
          <w:color w:val="auto"/>
        </w:rPr>
      </w:pPr>
    </w:p>
    <w:p w14:paraId="0B99AD72">
      <w:pPr>
        <w:pStyle w:val="14"/>
        <w:rPr>
          <w:rFonts w:hint="eastAsia" w:hAnsi="宋体"/>
          <w:color w:val="auto"/>
        </w:rPr>
      </w:pPr>
    </w:p>
    <w:p w14:paraId="219FB11A">
      <w:pPr>
        <w:pStyle w:val="14"/>
        <w:rPr>
          <w:rFonts w:hint="eastAsia" w:hAnsi="宋体"/>
          <w:color w:val="auto"/>
        </w:rPr>
      </w:pPr>
    </w:p>
    <w:p w14:paraId="0659FF40">
      <w:pPr>
        <w:spacing w:before="163" w:beforeLines="50"/>
        <w:jc w:val="center"/>
        <w:rPr>
          <w:rFonts w:hint="eastAsia"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0" w:h="16840"/>
          <w:pgMar w:top="1440" w:right="1800" w:bottom="1440" w:left="1800" w:header="851" w:footer="992" w:gutter="0"/>
          <w:cols w:space="425" w:num="1"/>
          <w:titlePg/>
          <w:docGrid w:type="lines" w:linePitch="326" w:charSpace="0"/>
        </w:sectPr>
      </w:pPr>
      <w:r>
        <w:rPr>
          <w:rFonts w:hint="eastAsia" w:ascii="宋体" w:hAnsi="宋体"/>
          <w:b/>
          <w:sz w:val="28"/>
          <w:szCs w:val="28"/>
        </w:rPr>
        <w:t>2025年6月</w:t>
      </w:r>
    </w:p>
    <w:p w14:paraId="3967AC5E">
      <w:pPr>
        <w:numPr>
          <w:ilvl w:val="0"/>
          <w:numId w:val="1"/>
        </w:numPr>
        <w:bidi w:val="0"/>
        <w:rPr>
          <w:rFonts w:hint="default"/>
        </w:rPr>
      </w:pPr>
      <w:r>
        <w:rPr>
          <w:rFonts w:hint="default"/>
        </w:rPr>
        <w:t>项目概况</w:t>
      </w:r>
      <w:r>
        <w:rPr>
          <w:rFonts w:hint="default"/>
        </w:rPr>
        <w:br w:type="textWrapping"/>
      </w:r>
      <w:r>
        <w:rPr>
          <w:rFonts w:hint="default"/>
        </w:rPr>
        <w:t>1.1 项目名称：医院DIP运营管理系统建设项目</w:t>
      </w:r>
      <w:r>
        <w:rPr>
          <w:rFonts w:hint="default"/>
        </w:rPr>
        <w:br w:type="textWrapping"/>
      </w:r>
      <w:r>
        <w:rPr>
          <w:rFonts w:hint="default"/>
        </w:rPr>
        <w:t>1.2 招标单位：</w:t>
      </w:r>
      <w:r>
        <w:rPr>
          <w:rFonts w:hint="eastAsia"/>
          <w:lang w:val="en-US" w:eastAsia="zh-CN"/>
        </w:rPr>
        <w:t>黄山首康医院</w:t>
      </w:r>
      <w:r>
        <w:rPr>
          <w:rFonts w:hint="default"/>
        </w:rPr>
        <w:br w:type="textWrapping"/>
      </w:r>
      <w:r>
        <w:rPr>
          <w:rFonts w:hint="default"/>
        </w:rPr>
        <w:t>1.3 项目预算：（</w:t>
      </w:r>
      <w:r>
        <w:rPr>
          <w:rFonts w:hint="eastAsia"/>
          <w:lang w:val="en-US" w:eastAsia="zh-CN"/>
        </w:rPr>
        <w:t>35万，含his接口费</w:t>
      </w:r>
      <w:r>
        <w:rPr>
          <w:rFonts w:hint="default"/>
        </w:rPr>
        <w:t>）</w:t>
      </w:r>
      <w:r>
        <w:rPr>
          <w:rFonts w:hint="eastAsia"/>
          <w:lang w:val="en-US" w:eastAsia="zh-CN"/>
        </w:rPr>
        <w:t>;</w:t>
      </w:r>
    </w:p>
    <w:p w14:paraId="4CA27327">
      <w:pPr>
        <w:pStyle w:val="14"/>
        <w:numPr>
          <w:ilvl w:val="0"/>
          <w:numId w:val="0"/>
        </w:numPr>
      </w:pPr>
    </w:p>
    <w:p w14:paraId="3A156108">
      <w:pPr>
        <w:bidi w:val="0"/>
        <w:rPr>
          <w:rFonts w:hint="default"/>
        </w:rPr>
      </w:pPr>
      <w:r>
        <w:rPr>
          <w:rFonts w:hint="default"/>
        </w:rPr>
        <w:t>二、招标范围</w:t>
      </w:r>
      <w:r>
        <w:rPr>
          <w:rFonts w:hint="default"/>
        </w:rPr>
        <w:br w:type="textWrapping"/>
      </w:r>
      <w:r>
        <w:rPr>
          <w:rFonts w:hint="default"/>
        </w:rPr>
        <w:t>2.1 系统部署内容：DIP运营管理系统、DIP驾驶舱及配套接口开发</w:t>
      </w:r>
      <w:r>
        <w:rPr>
          <w:rFonts w:hint="default"/>
        </w:rPr>
        <w:br w:type="textWrapping"/>
      </w:r>
      <w:r>
        <w:rPr>
          <w:rFonts w:hint="default"/>
        </w:rPr>
        <w:t>2.2 服务内容：系统部署、接口对接、数据迁移、培训及3年运维服务</w:t>
      </w:r>
    </w:p>
    <w:p w14:paraId="3CE54123">
      <w:pPr>
        <w:bidi w:val="0"/>
      </w:pPr>
    </w:p>
    <w:p w14:paraId="5432C56B">
      <w:pPr>
        <w:bidi w:val="0"/>
        <w:rPr>
          <w:rFonts w:hint="default"/>
        </w:rPr>
      </w:pPr>
      <w:r>
        <w:t>三、</w:t>
      </w:r>
      <w:r>
        <w:rPr>
          <w:rFonts w:hint="default"/>
        </w:rPr>
        <w:t>技术要求</w:t>
      </w:r>
      <w:r>
        <w:rPr>
          <w:rFonts w:hint="default"/>
        </w:rPr>
        <w:br w:type="textWrapping"/>
      </w:r>
      <w:r>
        <w:rPr>
          <w:rFonts w:hint="default"/>
        </w:rPr>
        <w:t>3.1 系统架构要求</w:t>
      </w:r>
    </w:p>
    <w:tbl>
      <w:tblPr>
        <w:tblStyle w:val="10"/>
        <w:tblW w:w="1021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8"/>
        <w:gridCol w:w="7580"/>
      </w:tblGrid>
      <w:tr w14:paraId="0BBF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tcPr>
          <w:p w14:paraId="0F551E4E">
            <w:pPr>
              <w:bidi w:val="0"/>
              <w:rPr>
                <w:rFonts w:hint="eastAsia"/>
                <w:lang w:val="en-US" w:eastAsia="zh-CN"/>
              </w:rPr>
            </w:pPr>
            <w:r>
              <w:rPr>
                <w:rFonts w:hint="eastAsia"/>
                <w:lang w:val="en-US" w:eastAsia="zh-CN"/>
              </w:rPr>
              <w:t>分类</w:t>
            </w:r>
          </w:p>
        </w:tc>
        <w:tc>
          <w:tcPr>
            <w:tcW w:w="7580" w:type="dxa"/>
          </w:tcPr>
          <w:p w14:paraId="061416FB">
            <w:pPr>
              <w:bidi w:val="0"/>
              <w:rPr>
                <w:rFonts w:hint="default"/>
                <w:lang w:val="en-US" w:eastAsia="zh-CN"/>
              </w:rPr>
            </w:pPr>
            <w:r>
              <w:rPr>
                <w:rFonts w:hint="eastAsia"/>
                <w:lang w:val="en-US" w:eastAsia="zh-CN"/>
              </w:rPr>
              <w:t>要求</w:t>
            </w:r>
          </w:p>
        </w:tc>
      </w:tr>
      <w:tr w14:paraId="6042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tcPr>
          <w:p w14:paraId="19E03477">
            <w:pPr>
              <w:bidi w:val="0"/>
              <w:rPr>
                <w:rFonts w:hint="default"/>
              </w:rPr>
            </w:pPr>
            <w:r>
              <w:t>开发框架</w:t>
            </w:r>
          </w:p>
        </w:tc>
        <w:tc>
          <w:tcPr>
            <w:tcW w:w="7580" w:type="dxa"/>
          </w:tcPr>
          <w:p w14:paraId="69835A3E">
            <w:pPr>
              <w:bidi w:val="0"/>
              <w:rPr>
                <w:rFonts w:hint="default"/>
              </w:rPr>
            </w:pPr>
            <w:r>
              <w:t>支持B/S架构，兼容主流浏览器</w:t>
            </w:r>
          </w:p>
        </w:tc>
      </w:tr>
      <w:tr w14:paraId="6FD9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tcPr>
          <w:p w14:paraId="492BF190">
            <w:pPr>
              <w:bidi w:val="0"/>
              <w:rPr>
                <w:rFonts w:hint="default"/>
              </w:rPr>
            </w:pPr>
            <w:r>
              <w:t>数据库</w:t>
            </w:r>
          </w:p>
        </w:tc>
        <w:tc>
          <w:tcPr>
            <w:tcW w:w="7580" w:type="dxa"/>
          </w:tcPr>
          <w:p w14:paraId="36C330EA">
            <w:pPr>
              <w:bidi w:val="0"/>
              <w:rPr>
                <w:rFonts w:hint="default"/>
              </w:rPr>
            </w:pPr>
            <w:r>
              <w:t>支持MySQL/Oracle等主流数据库</w:t>
            </w:r>
          </w:p>
        </w:tc>
      </w:tr>
      <w:tr w14:paraId="6E7B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8" w:type="dxa"/>
          </w:tcPr>
          <w:p w14:paraId="3A5ED899">
            <w:pPr>
              <w:bidi w:val="0"/>
              <w:rPr>
                <w:rFonts w:hint="default"/>
              </w:rPr>
            </w:pPr>
            <w:r>
              <w:t>接口规范</w:t>
            </w:r>
          </w:p>
        </w:tc>
        <w:tc>
          <w:tcPr>
            <w:tcW w:w="7580" w:type="dxa"/>
          </w:tcPr>
          <w:p w14:paraId="4ED5FF17">
            <w:pPr>
              <w:bidi w:val="0"/>
              <w:rPr>
                <w:rFonts w:hint="eastAsia" w:eastAsia="宋体"/>
                <w:lang w:eastAsia="zh-CN"/>
              </w:rPr>
            </w:pPr>
            <w:r>
              <w:t>需与医院HIS系统对接</w:t>
            </w:r>
            <w:r>
              <w:rPr>
                <w:rFonts w:hint="eastAsia"/>
                <w:lang w:eastAsia="zh-CN"/>
              </w:rPr>
              <w:t>。</w:t>
            </w:r>
          </w:p>
        </w:tc>
      </w:tr>
    </w:tbl>
    <w:p w14:paraId="36386F30">
      <w:pPr>
        <w:bidi w:val="0"/>
      </w:pPr>
    </w:p>
    <w:p w14:paraId="302DD9E0">
      <w:pPr>
        <w:bidi w:val="0"/>
      </w:pPr>
      <w:r>
        <w:t>3.2 功能需求</w:t>
      </w:r>
    </w:p>
    <w:p w14:paraId="78694524">
      <w:pPr>
        <w:pStyle w:val="14"/>
      </w:pPr>
    </w:p>
    <w:p w14:paraId="7E188F77">
      <w:pPr>
        <w:pStyle w:val="14"/>
      </w:pPr>
    </w:p>
    <w:p w14:paraId="2B33F466">
      <w:pPr>
        <w:pStyle w:val="14"/>
      </w:pPr>
    </w:p>
    <w:tbl>
      <w:tblPr>
        <w:tblStyle w:val="10"/>
        <w:tblW w:w="10227"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224"/>
        <w:gridCol w:w="2152"/>
        <w:gridCol w:w="4460"/>
      </w:tblGrid>
      <w:tr w14:paraId="4840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shd w:val="clear" w:color="auto" w:fill="auto"/>
            <w:vAlign w:val="center"/>
          </w:tcPr>
          <w:p w14:paraId="50F26548">
            <w:pPr>
              <w:bidi w:val="0"/>
              <w:rPr>
                <w:rFonts w:hint="eastAsia" w:ascii="Calibri" w:hAnsi="Calibri" w:eastAsia="宋体" w:cs="黑体"/>
                <w:kern w:val="2"/>
                <w:sz w:val="24"/>
                <w:szCs w:val="24"/>
                <w:lang w:val="en-US" w:eastAsia="zh-CN" w:bidi="ar-SA"/>
              </w:rPr>
            </w:pPr>
            <w:r>
              <w:rPr>
                <w:rFonts w:hint="eastAsia"/>
                <w:lang w:val="en-US" w:eastAsia="zh-CN"/>
              </w:rPr>
              <w:t>模块</w:t>
            </w:r>
          </w:p>
        </w:tc>
        <w:tc>
          <w:tcPr>
            <w:tcW w:w="2224" w:type="dxa"/>
            <w:shd w:val="clear" w:color="auto" w:fill="auto"/>
            <w:vAlign w:val="center"/>
          </w:tcPr>
          <w:p w14:paraId="1096169C">
            <w:pPr>
              <w:bidi w:val="0"/>
              <w:rPr>
                <w:rFonts w:hint="eastAsia" w:ascii="Calibri" w:hAnsi="Calibri" w:eastAsia="宋体" w:cs="黑体"/>
                <w:kern w:val="2"/>
                <w:sz w:val="24"/>
                <w:szCs w:val="24"/>
                <w:lang w:val="en-US" w:eastAsia="zh-CN" w:bidi="ar-SA"/>
              </w:rPr>
            </w:pPr>
            <w:r>
              <w:rPr>
                <w:rFonts w:hint="eastAsia"/>
                <w:lang w:val="en-US" w:eastAsia="zh-CN"/>
              </w:rPr>
              <w:t>子模块</w:t>
            </w:r>
          </w:p>
        </w:tc>
        <w:tc>
          <w:tcPr>
            <w:tcW w:w="2152" w:type="dxa"/>
            <w:shd w:val="clear" w:color="auto" w:fill="auto"/>
            <w:vAlign w:val="center"/>
          </w:tcPr>
          <w:p w14:paraId="3D2F69E5">
            <w:pPr>
              <w:bidi w:val="0"/>
              <w:rPr>
                <w:rFonts w:hint="eastAsia" w:ascii="Calibri" w:hAnsi="Calibri" w:eastAsia="宋体" w:cs="黑体"/>
                <w:kern w:val="2"/>
                <w:sz w:val="24"/>
                <w:szCs w:val="24"/>
                <w:lang w:val="en-US" w:eastAsia="zh-CN" w:bidi="ar-SA"/>
              </w:rPr>
            </w:pPr>
            <w:r>
              <w:rPr>
                <w:rFonts w:hint="eastAsia"/>
                <w:lang w:val="en-US" w:eastAsia="zh-CN"/>
              </w:rPr>
              <w:t>功能要点</w:t>
            </w:r>
          </w:p>
        </w:tc>
        <w:tc>
          <w:tcPr>
            <w:tcW w:w="4460" w:type="dxa"/>
            <w:shd w:val="clear" w:color="auto" w:fill="auto"/>
            <w:vAlign w:val="center"/>
          </w:tcPr>
          <w:p w14:paraId="08BFBBCB">
            <w:pPr>
              <w:bidi w:val="0"/>
              <w:rPr>
                <w:rFonts w:hint="eastAsia" w:ascii="Calibri" w:hAnsi="Calibri" w:eastAsia="宋体" w:cs="黑体"/>
                <w:kern w:val="2"/>
                <w:sz w:val="24"/>
                <w:szCs w:val="24"/>
                <w:lang w:val="en-US" w:eastAsia="zh-CN" w:bidi="ar-SA"/>
              </w:rPr>
            </w:pPr>
            <w:r>
              <w:rPr>
                <w:rFonts w:hint="eastAsia"/>
                <w:lang w:val="en-US" w:eastAsia="zh-CN"/>
              </w:rPr>
              <w:t>详细描述</w:t>
            </w:r>
          </w:p>
        </w:tc>
      </w:tr>
      <w:tr w14:paraId="54233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shd w:val="clear" w:color="auto" w:fill="auto"/>
            <w:vAlign w:val="center"/>
          </w:tcPr>
          <w:p w14:paraId="0F27E189">
            <w:pPr>
              <w:bidi w:val="0"/>
              <w:rPr>
                <w:rFonts w:hint="eastAsia" w:ascii="Calibri" w:hAnsi="Calibri" w:eastAsia="宋体" w:cs="黑体"/>
                <w:kern w:val="2"/>
                <w:sz w:val="24"/>
                <w:szCs w:val="24"/>
                <w:lang w:val="en-US" w:eastAsia="zh-CN" w:bidi="ar-SA"/>
              </w:rPr>
            </w:pPr>
            <w:r>
              <w:rPr>
                <w:rFonts w:hint="eastAsia"/>
                <w:lang w:val="en-US" w:eastAsia="zh-CN"/>
              </w:rPr>
              <w:t>在院管理</w:t>
            </w:r>
          </w:p>
        </w:tc>
        <w:tc>
          <w:tcPr>
            <w:tcW w:w="2224" w:type="dxa"/>
            <w:shd w:val="clear" w:color="auto" w:fill="auto"/>
            <w:vAlign w:val="center"/>
          </w:tcPr>
          <w:p w14:paraId="596E0414">
            <w:pPr>
              <w:bidi w:val="0"/>
              <w:rPr>
                <w:rFonts w:hint="eastAsia" w:ascii="Calibri" w:hAnsi="Calibri" w:eastAsia="宋体" w:cs="黑体"/>
                <w:kern w:val="2"/>
                <w:sz w:val="24"/>
                <w:szCs w:val="24"/>
                <w:lang w:val="en-US" w:eastAsia="zh-CN" w:bidi="ar-SA"/>
              </w:rPr>
            </w:pPr>
            <w:r>
              <w:rPr>
                <w:rFonts w:hint="eastAsia"/>
                <w:lang w:val="en-US" w:eastAsia="zh-CN"/>
              </w:rPr>
              <w:t>医生端预分组</w:t>
            </w:r>
          </w:p>
        </w:tc>
        <w:tc>
          <w:tcPr>
            <w:tcW w:w="2152" w:type="dxa"/>
            <w:shd w:val="clear" w:color="auto" w:fill="auto"/>
            <w:vAlign w:val="center"/>
          </w:tcPr>
          <w:p w14:paraId="34F90666">
            <w:pPr>
              <w:bidi w:val="0"/>
              <w:rPr>
                <w:rFonts w:hint="eastAsia" w:ascii="Calibri" w:hAnsi="Calibri" w:eastAsia="宋体" w:cs="黑体"/>
                <w:kern w:val="2"/>
                <w:sz w:val="24"/>
                <w:szCs w:val="24"/>
                <w:lang w:val="en-US" w:eastAsia="zh-CN" w:bidi="ar-SA"/>
              </w:rPr>
            </w:pPr>
            <w:r>
              <w:rPr>
                <w:rFonts w:hint="eastAsia"/>
                <w:lang w:val="en-US" w:eastAsia="zh-CN"/>
              </w:rPr>
              <w:t>分组预测</w:t>
            </w:r>
            <w:r>
              <w:t>、</w:t>
            </w:r>
            <w:r>
              <w:rPr>
                <w:rFonts w:hint="eastAsia"/>
                <w:lang w:val="en-US" w:eastAsia="zh-CN"/>
              </w:rPr>
              <w:t>分组模拟、诊断缺漏质控、</w:t>
            </w:r>
            <w:r>
              <w:t>分组优化建议</w:t>
            </w:r>
          </w:p>
        </w:tc>
        <w:tc>
          <w:tcPr>
            <w:tcW w:w="4460" w:type="dxa"/>
            <w:shd w:val="clear" w:color="auto" w:fill="auto"/>
            <w:vAlign w:val="center"/>
          </w:tcPr>
          <w:p w14:paraId="74BC4FF2">
            <w:pPr>
              <w:bidi w:val="0"/>
              <w:rPr>
                <w:rFonts w:hint="eastAsia" w:ascii="Calibri" w:hAnsi="Calibri" w:eastAsia="宋体" w:cs="黑体"/>
                <w:kern w:val="2"/>
                <w:sz w:val="24"/>
                <w:szCs w:val="24"/>
                <w:lang w:val="en-US" w:eastAsia="zh-CN" w:bidi="ar-SA"/>
              </w:rPr>
            </w:pPr>
            <w:r>
              <w:rPr>
                <w:rFonts w:hint="eastAsia"/>
              </w:rPr>
              <w:t>支持对全院在院病例进行DIP预测入组功能，其中对费用极高病例、费用极低病例、费用超支、病历首页质控问题、不合理入院等信息提供实时预警提醒。重要手术缺漏质控，并可对比查看补充缺漏手术前后DIP分组及费用情况。支持临床医生通过调整主次诊断、手术顺序，模拟相近入组，在符合医保规范的前提下提供分组优化建议，协助临床医生在住院诊疗过程中对DIP相关指标和总费用进行有效提醒，并可对比查看模拟前后DIP分组及费用等情况</w:t>
            </w:r>
          </w:p>
        </w:tc>
      </w:tr>
      <w:tr w14:paraId="29BD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vAlign w:val="center"/>
          </w:tcPr>
          <w:p w14:paraId="1989C895">
            <w:pPr>
              <w:bidi w:val="0"/>
              <w:rPr>
                <w:rFonts w:hint="eastAsia"/>
                <w:lang w:val="en-US" w:eastAsia="zh-CN"/>
              </w:rPr>
            </w:pPr>
          </w:p>
        </w:tc>
        <w:tc>
          <w:tcPr>
            <w:tcW w:w="2224" w:type="dxa"/>
            <w:shd w:val="clear" w:color="auto" w:fill="auto"/>
            <w:vAlign w:val="center"/>
          </w:tcPr>
          <w:p w14:paraId="1CCB3239">
            <w:pPr>
              <w:bidi w:val="0"/>
              <w:rPr>
                <w:rFonts w:hint="eastAsia" w:ascii="Calibri" w:hAnsi="Calibri" w:eastAsia="宋体" w:cs="黑体"/>
                <w:kern w:val="2"/>
                <w:sz w:val="24"/>
                <w:szCs w:val="24"/>
                <w:lang w:val="en-US" w:eastAsia="zh-CN" w:bidi="ar-SA"/>
              </w:rPr>
            </w:pPr>
            <w:r>
              <w:rPr>
                <w:rFonts w:hint="eastAsia"/>
                <w:lang w:val="en-US" w:eastAsia="zh-CN"/>
              </w:rPr>
              <w:t>在院监测分析</w:t>
            </w:r>
          </w:p>
        </w:tc>
        <w:tc>
          <w:tcPr>
            <w:tcW w:w="2152" w:type="dxa"/>
            <w:shd w:val="clear" w:color="auto" w:fill="auto"/>
            <w:vAlign w:val="center"/>
          </w:tcPr>
          <w:p w14:paraId="30C0C904">
            <w:pPr>
              <w:bidi w:val="0"/>
              <w:rPr>
                <w:rFonts w:hint="eastAsia" w:ascii="宋体" w:hAnsi="宋体" w:cs="宋体"/>
                <w:color w:val="000000"/>
                <w:kern w:val="0"/>
                <w:szCs w:val="21"/>
                <w:lang w:val="en-US" w:eastAsia="zh-CN"/>
              </w:rPr>
            </w:pPr>
            <w:r>
              <w:rPr>
                <w:rFonts w:hint="eastAsia" w:ascii="宋体" w:hAnsi="宋体" w:eastAsia="宋体" w:cs="宋体"/>
                <w:color w:val="000000"/>
                <w:kern w:val="0"/>
                <w:szCs w:val="21"/>
              </w:rPr>
              <w:t>在院病例监测</w:t>
            </w:r>
          </w:p>
          <w:p w14:paraId="12FB3899">
            <w:pPr>
              <w:bidi w:val="0"/>
              <w:rPr>
                <w:rFonts w:hint="eastAsia" w:ascii="宋体" w:hAnsi="宋体" w:eastAsia="宋体" w:cs="宋体"/>
                <w:color w:val="000000"/>
                <w:kern w:val="0"/>
                <w:szCs w:val="21"/>
              </w:rPr>
            </w:pPr>
            <w:r>
              <w:rPr>
                <w:rFonts w:hint="eastAsia" w:ascii="宋体" w:hAnsi="宋体" w:cs="宋体"/>
                <w:color w:val="000000"/>
                <w:kern w:val="0"/>
                <w:szCs w:val="21"/>
                <w:lang w:val="en-US" w:eastAsia="zh-CN"/>
              </w:rPr>
              <w:t>病案</w:t>
            </w:r>
            <w:r>
              <w:rPr>
                <w:rFonts w:hint="eastAsia" w:ascii="宋体" w:hAnsi="宋体" w:eastAsia="宋体" w:cs="宋体"/>
                <w:color w:val="000000"/>
                <w:kern w:val="0"/>
                <w:szCs w:val="21"/>
              </w:rPr>
              <w:t>前病例监测</w:t>
            </w:r>
          </w:p>
          <w:p w14:paraId="724AAE1C">
            <w:pPr>
              <w:pStyle w:val="14"/>
              <w:jc w:val="both"/>
              <w:rPr>
                <w:rFonts w:hint="eastAsia" w:ascii="宋体" w:hAnsi="Calibri" w:eastAsia="宋体" w:cs="Times New Roman"/>
                <w:color w:val="000000"/>
                <w:sz w:val="24"/>
                <w:szCs w:val="24"/>
                <w:lang w:val="en-US" w:eastAsia="zh-CN" w:bidi="ar-SA"/>
              </w:rPr>
            </w:pPr>
            <w:r>
              <w:rPr>
                <w:rFonts w:hint="eastAsia" w:ascii="宋体" w:hAnsi="宋体" w:eastAsia="宋体" w:cs="宋体"/>
                <w:color w:val="000000"/>
                <w:kern w:val="0"/>
                <w:szCs w:val="21"/>
              </w:rPr>
              <w:t>已提交病例分析</w:t>
            </w:r>
          </w:p>
        </w:tc>
        <w:tc>
          <w:tcPr>
            <w:tcW w:w="4460" w:type="dxa"/>
            <w:shd w:val="clear" w:color="auto" w:fill="auto"/>
            <w:vAlign w:val="center"/>
          </w:tcPr>
          <w:p w14:paraId="05D2D840">
            <w:pPr>
              <w:bidi w:val="0"/>
              <w:rPr>
                <w:rFonts w:hint="eastAsia" w:ascii="Calibri" w:hAnsi="Calibri" w:eastAsia="宋体" w:cs="黑体"/>
                <w:kern w:val="2"/>
                <w:sz w:val="24"/>
                <w:szCs w:val="24"/>
                <w:lang w:val="en-US" w:eastAsia="zh-CN" w:bidi="ar-SA"/>
              </w:rPr>
            </w:pPr>
            <w:r>
              <w:rPr>
                <w:rFonts w:hint="eastAsia"/>
              </w:rPr>
              <w:t>支持对全院在院病例的DIP预测入组功能，其中对费用极高病例、费用极低病例、总费用、超支结余等信息提供实时预警提醒。协助临床医生在住院治疗过程中对DIP相关指标和总费用进行有效干预。支持临床医生通过调整主次诊断、手术顺序，模拟相近入组，在符合医保规范的前提下提供分组优化建议，并可对比查看模拟前后DIP分组及费用等情况，支持诊断手术模糊联想输入。重要手术缺漏质控，并可对比查看补充缺漏手术前后DIP分组及费用情况，并可对比查看补充缺漏手术前后DIP分组及费用情况。支持按病种、中医、床日等结算方式查看入组信息，优先展示点数最高的结算方式支持从科室、医疗组、病区、医生等不同维度统计、查看各类型病例详情；支持针对病例范围、医保类型、参保类型、结算方式、病例类型等条件进行自定义或模糊筛选，所有筛选结果可下载。</w:t>
            </w:r>
          </w:p>
        </w:tc>
      </w:tr>
      <w:tr w14:paraId="1BD4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vAlign w:val="center"/>
          </w:tcPr>
          <w:p w14:paraId="3DFDB150">
            <w:pPr>
              <w:tabs>
                <w:tab w:val="center" w:pos="587"/>
              </w:tabs>
              <w:bidi w:val="0"/>
              <w:rPr>
                <w:rFonts w:hint="default" w:eastAsia="宋体"/>
                <w:lang w:val="en-US" w:eastAsia="zh-CN"/>
              </w:rPr>
            </w:pPr>
            <w:r>
              <w:t>DI</w:t>
            </w:r>
            <w:r>
              <w:rPr>
                <w:rFonts w:hint="eastAsia"/>
                <w:lang w:val="en-US" w:eastAsia="zh-CN"/>
              </w:rPr>
              <w:t>P全院运行情况总览</w:t>
            </w:r>
          </w:p>
        </w:tc>
        <w:tc>
          <w:tcPr>
            <w:tcW w:w="2224" w:type="dxa"/>
            <w:vAlign w:val="center"/>
          </w:tcPr>
          <w:p w14:paraId="7BC2CB9A">
            <w:pPr>
              <w:bidi w:val="0"/>
              <w:rPr>
                <w:rFonts w:hint="default"/>
              </w:rPr>
            </w:pPr>
            <w:r>
              <w:t>全院超支结余分析</w:t>
            </w:r>
          </w:p>
        </w:tc>
        <w:tc>
          <w:tcPr>
            <w:tcW w:w="2152" w:type="dxa"/>
            <w:vAlign w:val="center"/>
          </w:tcPr>
          <w:p w14:paraId="423017E7">
            <w:pPr>
              <w:bidi w:val="0"/>
              <w:rPr>
                <w:rFonts w:hint="default"/>
              </w:rPr>
            </w:pPr>
            <w:r>
              <w:t>超支结余</w:t>
            </w:r>
          </w:p>
        </w:tc>
        <w:tc>
          <w:tcPr>
            <w:tcW w:w="4460" w:type="dxa"/>
            <w:vAlign w:val="center"/>
          </w:tcPr>
          <w:p w14:paraId="3FCBE8E7">
            <w:pPr>
              <w:bidi w:val="0"/>
              <w:rPr>
                <w:rFonts w:hint="default"/>
              </w:rPr>
            </w:pPr>
            <w:r>
              <w:rPr>
                <w:rFonts w:hint="eastAsia"/>
              </w:rPr>
              <w:t>对医院整体DIP情况进行展示和分析，按自定义的时间段展示全院的入组DIP的病例数、病种数、入组率、结余情况、时间消耗指标、费用消耗指标等DIP核心指标，展示全院及各科室核心病种、综合病种、基层病种的病种分布，可进行数据下钻操作，进一步对病例进行性质分析；</w:t>
            </w:r>
          </w:p>
        </w:tc>
      </w:tr>
      <w:tr w14:paraId="7AC1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vAlign w:val="center"/>
          </w:tcPr>
          <w:p w14:paraId="4F3A0CFB">
            <w:pPr>
              <w:bidi w:val="0"/>
              <w:rPr>
                <w:rFonts w:hint="default"/>
              </w:rPr>
            </w:pPr>
          </w:p>
        </w:tc>
        <w:tc>
          <w:tcPr>
            <w:tcW w:w="2224" w:type="dxa"/>
            <w:vAlign w:val="center"/>
          </w:tcPr>
          <w:p w14:paraId="0F71EC0F">
            <w:pPr>
              <w:bidi w:val="0"/>
              <w:rPr>
                <w:rFonts w:hint="default"/>
              </w:rPr>
            </w:pPr>
            <w:r>
              <w:rPr>
                <w:rFonts w:hint="eastAsia"/>
              </w:rPr>
              <w:t>全院费用构成分析</w:t>
            </w:r>
          </w:p>
        </w:tc>
        <w:tc>
          <w:tcPr>
            <w:tcW w:w="2152" w:type="dxa"/>
            <w:vAlign w:val="center"/>
          </w:tcPr>
          <w:p w14:paraId="14291108">
            <w:pPr>
              <w:bidi w:val="0"/>
              <w:rPr>
                <w:rFonts w:hint="default"/>
              </w:rPr>
            </w:pPr>
            <w:r>
              <w:rPr>
                <w:rFonts w:hint="eastAsia"/>
              </w:rPr>
              <w:t>费用构成</w:t>
            </w:r>
          </w:p>
        </w:tc>
        <w:tc>
          <w:tcPr>
            <w:tcW w:w="4460" w:type="dxa"/>
            <w:vAlign w:val="center"/>
          </w:tcPr>
          <w:p w14:paraId="1C379B5A">
            <w:pPr>
              <w:bidi w:val="0"/>
              <w:rPr>
                <w:rFonts w:hint="default"/>
              </w:rPr>
            </w:pPr>
            <w:r>
              <w:rPr>
                <w:rFonts w:hint="eastAsia"/>
              </w:rPr>
              <w:t>按自定义的时间段展示各费用类型的金额及占比分布、展示药占比、耗占比、医技费用占比时间序列趋势，支持重点查看费用偏差病例的费用构成和趋势情况。</w:t>
            </w:r>
          </w:p>
        </w:tc>
      </w:tr>
      <w:tr w14:paraId="6922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vAlign w:val="center"/>
          </w:tcPr>
          <w:p w14:paraId="36EEAE66">
            <w:pPr>
              <w:bidi w:val="0"/>
              <w:rPr>
                <w:rFonts w:hint="default"/>
              </w:rPr>
            </w:pPr>
          </w:p>
        </w:tc>
        <w:tc>
          <w:tcPr>
            <w:tcW w:w="2224" w:type="dxa"/>
            <w:vAlign w:val="center"/>
          </w:tcPr>
          <w:p w14:paraId="280F0B77">
            <w:pPr>
              <w:bidi w:val="0"/>
              <w:rPr>
                <w:rFonts w:hint="eastAsia"/>
              </w:rPr>
            </w:pPr>
            <w:r>
              <w:rPr>
                <w:rFonts w:hint="eastAsia"/>
                <w:lang w:eastAsia="zh-CN"/>
              </w:rPr>
              <w:t>全</w:t>
            </w:r>
            <w:r>
              <w:rPr>
                <w:rFonts w:hint="eastAsia"/>
              </w:rPr>
              <w:t>院资源使用效率分析</w:t>
            </w:r>
          </w:p>
        </w:tc>
        <w:tc>
          <w:tcPr>
            <w:tcW w:w="2152" w:type="dxa"/>
            <w:vAlign w:val="center"/>
          </w:tcPr>
          <w:p w14:paraId="4C5D5220">
            <w:pPr>
              <w:bidi w:val="0"/>
              <w:rPr>
                <w:rFonts w:hint="eastAsia" w:eastAsia="宋体"/>
                <w:lang w:eastAsia="zh-CN"/>
              </w:rPr>
            </w:pPr>
            <w:r>
              <w:rPr>
                <w:rFonts w:hint="eastAsia"/>
                <w:lang w:eastAsia="zh-CN"/>
              </w:rPr>
              <w:t>资源消耗</w:t>
            </w:r>
          </w:p>
        </w:tc>
        <w:tc>
          <w:tcPr>
            <w:tcW w:w="4460" w:type="dxa"/>
            <w:vAlign w:val="center"/>
          </w:tcPr>
          <w:p w14:paraId="5F9375F8">
            <w:pPr>
              <w:bidi w:val="0"/>
              <w:rPr>
                <w:rFonts w:hint="eastAsia"/>
              </w:rPr>
            </w:pPr>
            <w:r>
              <w:rPr>
                <w:rFonts w:hint="eastAsia"/>
                <w:lang w:eastAsia="zh-CN"/>
              </w:rPr>
              <w:t>全</w:t>
            </w:r>
            <w:r>
              <w:rPr>
                <w:rFonts w:hint="eastAsia"/>
              </w:rPr>
              <w:t>院资源使用效率分析，按自定义的时间段展示次均费用与平均住院日趋势，支持做同期的对比。</w:t>
            </w:r>
          </w:p>
        </w:tc>
      </w:tr>
      <w:tr w14:paraId="001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vAlign w:val="center"/>
          </w:tcPr>
          <w:p w14:paraId="3AF55489">
            <w:pPr>
              <w:bidi w:val="0"/>
              <w:rPr>
                <w:rFonts w:hint="default"/>
              </w:rPr>
            </w:pPr>
          </w:p>
        </w:tc>
        <w:tc>
          <w:tcPr>
            <w:tcW w:w="2224" w:type="dxa"/>
            <w:vAlign w:val="center"/>
          </w:tcPr>
          <w:p w14:paraId="313B020D">
            <w:pPr>
              <w:bidi w:val="0"/>
              <w:rPr>
                <w:rFonts w:hint="eastAsia"/>
                <w:lang w:eastAsia="zh-CN"/>
              </w:rPr>
            </w:pPr>
            <w:r>
              <w:rPr>
                <w:rFonts w:hint="eastAsia"/>
                <w:lang w:eastAsia="zh-CN"/>
              </w:rPr>
              <w:t>全院病种构成分析</w:t>
            </w:r>
          </w:p>
        </w:tc>
        <w:tc>
          <w:tcPr>
            <w:tcW w:w="2152" w:type="dxa"/>
            <w:vAlign w:val="center"/>
          </w:tcPr>
          <w:p w14:paraId="0A8EBE2E">
            <w:pPr>
              <w:bidi w:val="0"/>
              <w:rPr>
                <w:rFonts w:hint="eastAsia" w:eastAsia="宋体"/>
                <w:lang w:eastAsia="zh-CN"/>
              </w:rPr>
            </w:pPr>
            <w:r>
              <w:rPr>
                <w:rFonts w:hint="eastAsia"/>
                <w:lang w:eastAsia="zh-CN"/>
              </w:rPr>
              <w:t>病种构成</w:t>
            </w:r>
          </w:p>
        </w:tc>
        <w:tc>
          <w:tcPr>
            <w:tcW w:w="4460" w:type="dxa"/>
            <w:vAlign w:val="center"/>
          </w:tcPr>
          <w:p w14:paraId="482DC07C">
            <w:pPr>
              <w:bidi w:val="0"/>
              <w:rPr>
                <w:rFonts w:hint="eastAsia"/>
                <w:lang w:eastAsia="zh-CN"/>
              </w:rPr>
            </w:pPr>
            <w:r>
              <w:rPr>
                <w:rFonts w:hint="eastAsia"/>
                <w:lang w:eastAsia="zh-CN"/>
              </w:rPr>
              <w:t>全院病种构成分析，按自定义的时间段展示CMI趋势，根据病种分值区间分布分析，查看各分值区间病例数/病种数占比及结余，分值区间支持根据医院情况自定义。</w:t>
            </w:r>
          </w:p>
          <w:p w14:paraId="4DB56A0D">
            <w:pPr>
              <w:pStyle w:val="14"/>
              <w:jc w:val="both"/>
              <w:rPr>
                <w:rFonts w:hint="eastAsia"/>
                <w:lang w:eastAsia="zh-CN"/>
              </w:rPr>
            </w:pPr>
          </w:p>
        </w:tc>
      </w:tr>
      <w:tr w14:paraId="2F0F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restart"/>
            <w:vAlign w:val="center"/>
          </w:tcPr>
          <w:p w14:paraId="7A532E0B">
            <w:pPr>
              <w:bidi w:val="0"/>
              <w:rPr>
                <w:rFonts w:hint="default" w:eastAsia="宋体"/>
                <w:lang w:val="en-US" w:eastAsia="zh-CN"/>
              </w:rPr>
            </w:pPr>
            <w:r>
              <w:rPr>
                <w:rFonts w:hint="eastAsia"/>
                <w:lang w:val="en-US" w:eastAsia="zh-CN"/>
              </w:rPr>
              <w:t>专题</w:t>
            </w:r>
            <w:r>
              <w:t>分析</w:t>
            </w:r>
          </w:p>
        </w:tc>
        <w:tc>
          <w:tcPr>
            <w:tcW w:w="2224" w:type="dxa"/>
            <w:vAlign w:val="center"/>
          </w:tcPr>
          <w:p w14:paraId="6D76893F">
            <w:pPr>
              <w:bidi w:val="0"/>
              <w:rPr>
                <w:rFonts w:hint="eastAsia"/>
                <w:lang w:eastAsia="zh-CN"/>
              </w:rPr>
            </w:pPr>
            <w:r>
              <w:rPr>
                <w:rFonts w:hint="eastAsia"/>
                <w:lang w:eastAsia="zh-CN"/>
              </w:rPr>
              <w:t>按角色的</w:t>
            </w:r>
          </w:p>
          <w:p w14:paraId="479F9502">
            <w:pPr>
              <w:bidi w:val="0"/>
              <w:rPr>
                <w:rFonts w:hint="eastAsia"/>
                <w:lang w:eastAsia="zh-CN"/>
              </w:rPr>
            </w:pPr>
            <w:r>
              <w:rPr>
                <w:rFonts w:hint="eastAsia"/>
                <w:lang w:eastAsia="zh-CN"/>
              </w:rPr>
              <w:t>综合分析</w:t>
            </w:r>
          </w:p>
        </w:tc>
        <w:tc>
          <w:tcPr>
            <w:tcW w:w="2152" w:type="dxa"/>
            <w:vAlign w:val="center"/>
          </w:tcPr>
          <w:p w14:paraId="273C740B">
            <w:pPr>
              <w:bidi w:val="0"/>
              <w:rPr>
                <w:rFonts w:hint="default" w:eastAsia="宋体"/>
                <w:lang w:val="en-US" w:eastAsia="zh-CN"/>
              </w:rPr>
            </w:pPr>
            <w:r>
              <w:rPr>
                <w:rFonts w:hint="eastAsia"/>
                <w:lang w:val="en-US" w:eastAsia="zh-CN"/>
              </w:rPr>
              <w:t>根据科室、诊疗组、医生等不同纬度进行DIP相关数据的分析</w:t>
            </w:r>
          </w:p>
        </w:tc>
        <w:tc>
          <w:tcPr>
            <w:tcW w:w="4460" w:type="dxa"/>
            <w:vAlign w:val="center"/>
          </w:tcPr>
          <w:p w14:paraId="15C5F8B3">
            <w:pPr>
              <w:bidi w:val="0"/>
              <w:rPr>
                <w:rFonts w:hint="eastAsia"/>
              </w:rPr>
            </w:pPr>
            <w:r>
              <w:rPr>
                <w:rFonts w:hint="eastAsia"/>
              </w:rPr>
              <w:t>按照科室、诊疗组、医生三个不同角色，对DIP的病例数、CMI、结余、药耗占比、其他费用结构、病种构成、平均住院日等指标进行展示和分析，支持同比、环比对比分析，支持病例数的下钻分析。</w:t>
            </w:r>
          </w:p>
          <w:p w14:paraId="7D257C55">
            <w:pPr>
              <w:bidi w:val="0"/>
              <w:rPr>
                <w:rFonts w:hint="eastAsia"/>
              </w:rPr>
            </w:pPr>
            <w:r>
              <w:rPr>
                <w:rFonts w:hint="eastAsia"/>
              </w:rPr>
              <w:t>支持按出院科室和管理科室维度进行分析，支持科室目标与标杆对比，支持列表字段快捷筛选和数据下载导出。</w:t>
            </w:r>
          </w:p>
        </w:tc>
      </w:tr>
      <w:tr w14:paraId="01D2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Merge w:val="continue"/>
            <w:vAlign w:val="center"/>
          </w:tcPr>
          <w:p w14:paraId="05E0DDCA">
            <w:pPr>
              <w:bidi w:val="0"/>
              <w:rPr>
                <w:rFonts w:hint="default" w:eastAsia="宋体"/>
                <w:lang w:val="en-US" w:eastAsia="zh-CN"/>
              </w:rPr>
            </w:pPr>
          </w:p>
        </w:tc>
        <w:tc>
          <w:tcPr>
            <w:tcW w:w="2224" w:type="dxa"/>
            <w:vAlign w:val="center"/>
          </w:tcPr>
          <w:p w14:paraId="10BAD2CC">
            <w:pPr>
              <w:bidi w:val="0"/>
              <w:rPr>
                <w:rFonts w:hint="default"/>
              </w:rPr>
            </w:pPr>
            <w:r>
              <w:rPr>
                <w:rFonts w:hint="eastAsia"/>
                <w:lang w:eastAsia="zh-CN"/>
              </w:rPr>
              <w:t>医院及</w:t>
            </w:r>
            <w:r>
              <w:t>学科发展分析</w:t>
            </w:r>
          </w:p>
        </w:tc>
        <w:tc>
          <w:tcPr>
            <w:tcW w:w="2152" w:type="dxa"/>
            <w:vAlign w:val="center"/>
          </w:tcPr>
          <w:p w14:paraId="0B5A777B">
            <w:pPr>
              <w:bidi w:val="0"/>
              <w:rPr>
                <w:rFonts w:hint="default"/>
              </w:rPr>
            </w:pPr>
            <w:r>
              <w:t>自定义指标矩阵图</w:t>
            </w:r>
          </w:p>
        </w:tc>
        <w:tc>
          <w:tcPr>
            <w:tcW w:w="4460" w:type="dxa"/>
            <w:vAlign w:val="center"/>
          </w:tcPr>
          <w:p w14:paraId="0023260D">
            <w:pPr>
              <w:bidi w:val="0"/>
              <w:rPr>
                <w:rFonts w:hint="eastAsia"/>
              </w:rPr>
            </w:pPr>
            <w:r>
              <w:rPr>
                <w:rFonts w:hint="eastAsia"/>
              </w:rPr>
              <w:t>综合病组分析，能根据国家下发的二级目录聚类标准，将病种聚类至二级目录进行对比分析，方便医院针对综合病种进行二次分析。</w:t>
            </w:r>
          </w:p>
          <w:p w14:paraId="69F21D8E">
            <w:pPr>
              <w:bidi w:val="0"/>
              <w:rPr>
                <w:rFonts w:hint="eastAsia"/>
              </w:rPr>
            </w:pPr>
            <w:r>
              <w:rPr>
                <w:rFonts w:hint="eastAsia"/>
              </w:rPr>
              <w:t>辅助目录分析，根据医保局下发的DIP辅助目录标准，将病种按照对应的辅助目录进行细化并对比分析，方便医院及时掌握辅助目录对病种分值的影响情况。</w:t>
            </w:r>
          </w:p>
          <w:p w14:paraId="69B895E5">
            <w:pPr>
              <w:bidi w:val="0"/>
              <w:rPr>
                <w:rFonts w:hint="eastAsia"/>
              </w:rPr>
            </w:pPr>
            <w:r>
              <w:rPr>
                <w:rFonts w:hint="eastAsia"/>
              </w:rPr>
              <w:t>费用分摊分析，能对出院科室与费用产生科室DIP结余对比及分摊统计，为医院绩效管理考核提供更准确的数据支撑。</w:t>
            </w:r>
          </w:p>
          <w:p w14:paraId="7040CA92">
            <w:pPr>
              <w:bidi w:val="0"/>
              <w:rPr>
                <w:rFonts w:hint="eastAsia"/>
              </w:rPr>
            </w:pPr>
            <w:r>
              <w:rPr>
                <w:rFonts w:hint="eastAsia"/>
              </w:rPr>
              <w:t>病例性质分析，根据病例的不同性质，如统筹区域或职工、居民类型进行分析，包括医疗总费用、次均费用、结余、平均住院日、CMI、药占比、耗占比、医技收入占比等指标。</w:t>
            </w:r>
          </w:p>
          <w:p w14:paraId="60267E5D">
            <w:pPr>
              <w:bidi w:val="0"/>
              <w:rPr>
                <w:rFonts w:hint="eastAsia"/>
              </w:rPr>
            </w:pPr>
            <w:r>
              <w:rPr>
                <w:rFonts w:hint="eastAsia"/>
              </w:rPr>
              <w:t>手术能力分析，能统计保守治疗组和手术操作组占比情况，统计各科室三四级手术占比情况，诊疗性操作和治疗性操作占比情况。</w:t>
            </w:r>
          </w:p>
          <w:p w14:paraId="6C5058F6">
            <w:pPr>
              <w:bidi w:val="0"/>
              <w:rPr>
                <w:rFonts w:hint="default"/>
              </w:rPr>
            </w:pPr>
            <w:r>
              <w:rPr>
                <w:rFonts w:hint="eastAsia"/>
              </w:rPr>
              <w:t>学科发展分析，能支持自定义DIP核心指标，以矩阵图的形式展示各学科优劣势情况，为医院发展提供决策支持。</w:t>
            </w:r>
          </w:p>
        </w:tc>
      </w:tr>
      <w:tr w14:paraId="628C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356F73D0">
            <w:pPr>
              <w:bidi w:val="0"/>
              <w:rPr>
                <w:rFonts w:hint="eastAsia"/>
                <w:lang w:eastAsia="zh-CN"/>
              </w:rPr>
            </w:pPr>
            <w:r>
              <w:rPr>
                <w:rFonts w:hint="eastAsia"/>
                <w:lang w:val="en-US" w:eastAsia="zh-CN"/>
              </w:rPr>
              <w:t>专题</w:t>
            </w:r>
            <w:r>
              <w:t>分析</w:t>
            </w:r>
          </w:p>
        </w:tc>
        <w:tc>
          <w:tcPr>
            <w:tcW w:w="2224" w:type="dxa"/>
            <w:vAlign w:val="center"/>
          </w:tcPr>
          <w:p w14:paraId="20F20782">
            <w:pPr>
              <w:bidi w:val="0"/>
              <w:ind w:firstLine="373" w:firstLineChars="0"/>
              <w:rPr>
                <w:rFonts w:hint="default"/>
                <w:lang w:val="en-US" w:eastAsia="zh-CN"/>
              </w:rPr>
            </w:pPr>
            <w:r>
              <w:rPr>
                <w:rFonts w:hint="eastAsia"/>
                <w:lang w:val="en-US" w:eastAsia="zh-CN"/>
              </w:rPr>
              <w:t>病种综合分析</w:t>
            </w:r>
          </w:p>
        </w:tc>
        <w:tc>
          <w:tcPr>
            <w:tcW w:w="2152" w:type="dxa"/>
            <w:vAlign w:val="center"/>
          </w:tcPr>
          <w:p w14:paraId="02E6A16D">
            <w:pPr>
              <w:bidi w:val="0"/>
              <w:rPr>
                <w:rFonts w:hint="default"/>
                <w:lang w:val="en-US" w:eastAsia="zh-CN"/>
              </w:rPr>
            </w:pPr>
            <w:r>
              <w:rPr>
                <w:rFonts w:hint="eastAsia"/>
                <w:lang w:val="en-US" w:eastAsia="zh-CN"/>
              </w:rPr>
              <w:t>病种纬度的统计分析</w:t>
            </w:r>
          </w:p>
        </w:tc>
        <w:tc>
          <w:tcPr>
            <w:tcW w:w="4460" w:type="dxa"/>
            <w:vAlign w:val="center"/>
          </w:tcPr>
          <w:p w14:paraId="1C84801F">
            <w:pPr>
              <w:bidi w:val="0"/>
              <w:rPr>
                <w:rFonts w:hint="eastAsia"/>
              </w:rPr>
            </w:pPr>
            <w:r>
              <w:rPr>
                <w:rFonts w:hint="eastAsia"/>
              </w:rPr>
              <w:t>对DIP病种按照运行指标监控、超支结余、费用构成、分值区间分布等维度进行对比分析和下钻支持对场景主题分析，提炼分析总结，协助管理者在不同管理场景快速获得DIP病种数据分析结果，为制定学科发展提供依据。</w:t>
            </w:r>
          </w:p>
          <w:p w14:paraId="084E6BE8">
            <w:pPr>
              <w:bidi w:val="0"/>
              <w:rPr>
                <w:rFonts w:hint="eastAsia"/>
              </w:rPr>
            </w:pPr>
            <w:r>
              <w:rPr>
                <w:rFonts w:hint="eastAsia"/>
              </w:rPr>
              <w:t>能对病种目标与标杆进行对比，能对重点监控病种进行管理，对重点监控病种进行筛选与设置，数据能导出下载</w:t>
            </w:r>
          </w:p>
          <w:p w14:paraId="2BC62102">
            <w:pPr>
              <w:bidi w:val="0"/>
              <w:rPr>
                <w:rFonts w:hint="eastAsia"/>
              </w:rPr>
            </w:pPr>
            <w:r>
              <w:rPr>
                <w:rFonts w:hint="eastAsia"/>
              </w:rPr>
              <w:t>能从超支结余、费用构成、资源使用效率、不同手术组合等维度查看病种的具体数据情况，支持针对筛选结果进行总结分析，能定位死亡病例、四级手术病例、微创手术病例、开放式手术病例，并对病例进行查看管理。</w:t>
            </w:r>
          </w:p>
        </w:tc>
      </w:tr>
      <w:tr w14:paraId="293C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1" w:type="dxa"/>
            <w:vAlign w:val="center"/>
          </w:tcPr>
          <w:p w14:paraId="1C23E023">
            <w:pPr>
              <w:bidi w:val="0"/>
              <w:rPr>
                <w:rFonts w:hint="eastAsia" w:eastAsia="宋体"/>
                <w:lang w:eastAsia="zh-CN"/>
              </w:rPr>
            </w:pPr>
            <w:r>
              <w:rPr>
                <w:rFonts w:hint="eastAsia"/>
                <w:lang w:eastAsia="zh-CN"/>
              </w:rPr>
              <w:t>查询与下载</w:t>
            </w:r>
          </w:p>
        </w:tc>
        <w:tc>
          <w:tcPr>
            <w:tcW w:w="2224" w:type="dxa"/>
            <w:vAlign w:val="center"/>
          </w:tcPr>
          <w:p w14:paraId="7D3FFC30">
            <w:pPr>
              <w:bidi w:val="0"/>
              <w:rPr>
                <w:rFonts w:hint="eastAsia"/>
                <w:lang w:eastAsia="zh-CN"/>
              </w:rPr>
            </w:pPr>
            <w:r>
              <w:rPr>
                <w:rFonts w:hint="eastAsia"/>
                <w:lang w:eastAsia="zh-CN"/>
              </w:rPr>
              <w:t>报表查询</w:t>
            </w:r>
          </w:p>
        </w:tc>
        <w:tc>
          <w:tcPr>
            <w:tcW w:w="2152" w:type="dxa"/>
            <w:vAlign w:val="center"/>
          </w:tcPr>
          <w:p w14:paraId="6E8DF84C">
            <w:pPr>
              <w:bidi w:val="0"/>
              <w:rPr>
                <w:rFonts w:hint="eastAsia" w:eastAsia="宋体"/>
                <w:lang w:eastAsia="zh-CN"/>
              </w:rPr>
            </w:pPr>
            <w:r>
              <w:rPr>
                <w:rFonts w:hint="eastAsia"/>
                <w:lang w:eastAsia="zh-CN"/>
              </w:rPr>
              <w:t>自定义各类报表</w:t>
            </w:r>
          </w:p>
        </w:tc>
        <w:tc>
          <w:tcPr>
            <w:tcW w:w="4460" w:type="dxa"/>
            <w:vAlign w:val="center"/>
          </w:tcPr>
          <w:p w14:paraId="784662CB">
            <w:pPr>
              <w:bidi w:val="0"/>
              <w:rPr>
                <w:rFonts w:hint="eastAsia"/>
              </w:rPr>
            </w:pPr>
            <w:r>
              <w:rPr>
                <w:rFonts w:hint="eastAsia"/>
              </w:rPr>
              <w:t>能提供全院各明细数据多维度的筛选和查询，根据场景快速查询和下载病例，能针对筛选结果进行总结分析。</w:t>
            </w:r>
          </w:p>
          <w:p w14:paraId="19CDFFC3">
            <w:pPr>
              <w:bidi w:val="0"/>
              <w:rPr>
                <w:rFonts w:hint="eastAsia"/>
              </w:rPr>
            </w:pPr>
            <w:r>
              <w:rPr>
                <w:rFonts w:hint="eastAsia"/>
              </w:rPr>
              <w:t>能提供DIP标准指标集，所有指标可根据实际场景按需自定义导出，支持自定义数据范围、时间范围、导出维度，支持保存指标为模版。满足医院相关管理人员快速构建基本报表的统计和下载的需求。</w:t>
            </w:r>
          </w:p>
        </w:tc>
      </w:tr>
    </w:tbl>
    <w:p w14:paraId="7C0F91C4">
      <w:pPr>
        <w:bidi w:val="0"/>
        <w:rPr>
          <w:rFonts w:hint="default"/>
        </w:rPr>
      </w:pPr>
    </w:p>
    <w:p w14:paraId="0870479F">
      <w:pPr>
        <w:bidi w:val="0"/>
        <w:rPr>
          <w:rFonts w:hint="default"/>
        </w:rPr>
      </w:pPr>
    </w:p>
    <w:p w14:paraId="0C8BF501">
      <w:pPr>
        <w:bidi w:val="0"/>
        <w:rPr>
          <w:rFonts w:hint="default"/>
        </w:rPr>
      </w:pPr>
    </w:p>
    <w:p w14:paraId="20528AC8">
      <w:pPr>
        <w:bidi w:val="0"/>
        <w:rPr>
          <w:rFonts w:hint="default"/>
        </w:rPr>
      </w:pPr>
    </w:p>
    <w:p w14:paraId="140B722F">
      <w:pPr>
        <w:bidi w:val="0"/>
        <w:rPr>
          <w:rFonts w:hint="default"/>
        </w:rPr>
      </w:pPr>
    </w:p>
    <w:p w14:paraId="65C6310C">
      <w:pPr>
        <w:bidi w:val="0"/>
        <w:rPr>
          <w:rFonts w:hint="default"/>
        </w:rPr>
      </w:pPr>
      <w:r>
        <w:rPr>
          <w:rFonts w:hint="eastAsia"/>
          <w:lang w:eastAsia="zh-CN"/>
        </w:rPr>
        <w:t>四、</w:t>
      </w:r>
      <w:r>
        <w:rPr>
          <w:rFonts w:hint="default"/>
        </w:rPr>
        <w:t>实施要求</w:t>
      </w:r>
    </w:p>
    <w:p w14:paraId="65AAF6AC">
      <w:pPr>
        <w:bidi w:val="0"/>
        <w:rPr>
          <w:rFonts w:hint="default"/>
        </w:rPr>
      </w:pPr>
    </w:p>
    <w:p w14:paraId="0287DC15">
      <w:pPr>
        <w:bidi w:val="0"/>
      </w:pPr>
      <w:r>
        <w:t>4.1 项目计划</w:t>
      </w:r>
    </w:p>
    <w:p w14:paraId="597C52E8">
      <w:pPr>
        <w:bidi w:val="0"/>
        <w:rPr>
          <w:rFonts w:hint="eastAsia"/>
          <w:lang w:val="en-US" w:eastAsia="zh-CN"/>
        </w:rPr>
      </w:pPr>
      <w:r>
        <w:rPr>
          <w:rFonts w:hint="eastAsia"/>
          <w:lang w:eastAsia="zh-CN"/>
        </w:rPr>
        <w:t>阶段一：</w:t>
      </w:r>
      <w:r>
        <w:rPr>
          <w:rFonts w:hint="eastAsia"/>
          <w:lang w:val="en-US" w:eastAsia="zh-CN"/>
        </w:rPr>
        <w:t>6月20日完成硬件部署；</w:t>
      </w:r>
    </w:p>
    <w:p w14:paraId="4A3DE4E9">
      <w:pPr>
        <w:pStyle w:val="14"/>
        <w:rPr>
          <w:rFonts w:hint="eastAsia"/>
          <w:lang w:val="en-US" w:eastAsia="zh-CN"/>
        </w:rPr>
      </w:pPr>
      <w:r>
        <w:rPr>
          <w:rFonts w:hint="eastAsia"/>
          <w:lang w:val="en-US" w:eastAsia="zh-CN"/>
        </w:rPr>
        <w:t>阶段二：7月中旬系统上线；</w:t>
      </w:r>
    </w:p>
    <w:p w14:paraId="791DDF02">
      <w:pPr>
        <w:pStyle w:val="14"/>
        <w:rPr>
          <w:rFonts w:hint="eastAsia"/>
          <w:lang w:val="en-US" w:eastAsia="zh-CN"/>
        </w:rPr>
      </w:pPr>
      <w:r>
        <w:rPr>
          <w:rFonts w:hint="eastAsia"/>
          <w:lang w:val="en-US" w:eastAsia="zh-CN"/>
        </w:rPr>
        <w:t>阶段三：8月系统试运行；系统稳定后验收；</w:t>
      </w:r>
    </w:p>
    <w:p w14:paraId="3DB8ECA0">
      <w:pPr>
        <w:pStyle w:val="14"/>
        <w:rPr>
          <w:rFonts w:hint="eastAsia"/>
          <w:lang w:val="en-US" w:eastAsia="zh-CN"/>
        </w:rPr>
      </w:pPr>
    </w:p>
    <w:p w14:paraId="19365E25">
      <w:pPr>
        <w:pStyle w:val="14"/>
        <w:rPr>
          <w:rFonts w:hint="eastAsia"/>
          <w:lang w:val="en-US" w:eastAsia="zh-CN"/>
        </w:rPr>
      </w:pPr>
    </w:p>
    <w:p w14:paraId="176A92F1">
      <w:pPr>
        <w:pStyle w:val="14"/>
        <w:rPr>
          <w:rFonts w:hint="eastAsia"/>
          <w:lang w:val="en-US" w:eastAsia="zh-CN"/>
        </w:rPr>
      </w:pPr>
    </w:p>
    <w:p w14:paraId="21074F58">
      <w:pPr>
        <w:pStyle w:val="14"/>
        <w:rPr>
          <w:rFonts w:hint="eastAsia"/>
          <w:lang w:val="en-US" w:eastAsia="zh-CN"/>
        </w:rPr>
      </w:pPr>
    </w:p>
    <w:p w14:paraId="691F6F7E">
      <w:pPr>
        <w:pStyle w:val="14"/>
        <w:rPr>
          <w:rFonts w:hint="eastAsia"/>
          <w:lang w:val="en-US" w:eastAsia="zh-CN"/>
        </w:rPr>
      </w:pPr>
    </w:p>
    <w:p w14:paraId="32685294">
      <w:pPr>
        <w:pStyle w:val="14"/>
        <w:rPr>
          <w:rFonts w:hint="eastAsia"/>
          <w:lang w:val="en-US" w:eastAsia="zh-CN"/>
        </w:rPr>
      </w:pPr>
    </w:p>
    <w:p w14:paraId="11F60111">
      <w:pPr>
        <w:pStyle w:val="14"/>
        <w:numPr>
          <w:ilvl w:val="0"/>
          <w:numId w:val="2"/>
        </w:numPr>
        <w:rPr>
          <w:rFonts w:hint="eastAsia"/>
          <w:lang w:val="en-US" w:eastAsia="zh-CN"/>
        </w:rPr>
      </w:pPr>
      <w:r>
        <w:rPr>
          <w:rFonts w:hint="eastAsia"/>
          <w:lang w:val="en-US" w:eastAsia="zh-CN"/>
        </w:rPr>
        <w:t>评分标准</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981"/>
        <w:gridCol w:w="6958"/>
      </w:tblGrid>
      <w:tr w14:paraId="23AE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70" w:type="dxa"/>
            <w:vAlign w:val="center"/>
          </w:tcPr>
          <w:p w14:paraId="2351F14A">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评分项目</w:t>
            </w:r>
          </w:p>
        </w:tc>
        <w:tc>
          <w:tcPr>
            <w:tcW w:w="981" w:type="dxa"/>
            <w:vAlign w:val="center"/>
          </w:tcPr>
          <w:p w14:paraId="51B42150">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6958" w:type="dxa"/>
            <w:vAlign w:val="center"/>
          </w:tcPr>
          <w:p w14:paraId="0485DFFC">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b/>
                <w:bCs/>
                <w:sz w:val="21"/>
                <w:szCs w:val="21"/>
              </w:rPr>
            </w:pPr>
            <w:r>
              <w:rPr>
                <w:rFonts w:hint="eastAsia" w:ascii="宋体" w:hAnsi="宋体" w:eastAsia="宋体" w:cs="宋体"/>
                <w:b/>
                <w:bCs/>
                <w:sz w:val="21"/>
                <w:szCs w:val="21"/>
              </w:rPr>
              <w:t>评标要点及说明</w:t>
            </w:r>
          </w:p>
        </w:tc>
      </w:tr>
      <w:tr w14:paraId="2FCB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209" w:type="dxa"/>
            <w:gridSpan w:val="3"/>
            <w:vAlign w:val="center"/>
          </w:tcPr>
          <w:p w14:paraId="6F2A74F9">
            <w:pPr>
              <w:pStyle w:val="5"/>
              <w:keepNext w:val="0"/>
              <w:keepLines w:val="0"/>
              <w:pageBreakBefore w:val="0"/>
              <w:widowControl w:val="0"/>
              <w:kinsoku/>
              <w:wordWrap/>
              <w:overflowPunct/>
              <w:bidi w:val="0"/>
              <w:snapToGrid/>
              <w:spacing w:after="0" w:line="276" w:lineRule="auto"/>
              <w:rPr>
                <w:rFonts w:hint="eastAsia" w:ascii="宋体" w:hAnsi="宋体" w:eastAsia="宋体" w:cs="宋体"/>
                <w:b/>
                <w:bCs/>
                <w:sz w:val="21"/>
                <w:szCs w:val="21"/>
              </w:rPr>
            </w:pPr>
            <w:r>
              <w:rPr>
                <w:rFonts w:hint="eastAsia" w:ascii="宋体" w:hAnsi="宋体" w:eastAsia="宋体" w:cs="宋体"/>
                <w:b/>
                <w:bCs/>
                <w:sz w:val="21"/>
                <w:szCs w:val="21"/>
              </w:rPr>
              <w:t>一、报价部分（</w:t>
            </w:r>
            <w:r>
              <w:rPr>
                <w:rFonts w:hint="eastAsia" w:ascii="宋体" w:hAnsi="宋体" w:cs="宋体"/>
                <w:b/>
                <w:bCs/>
                <w:sz w:val="21"/>
                <w:szCs w:val="21"/>
                <w:lang w:val="en-US" w:eastAsia="zh-CN"/>
              </w:rPr>
              <w:t>4</w:t>
            </w:r>
            <w:r>
              <w:rPr>
                <w:rFonts w:hint="eastAsia" w:ascii="宋体" w:hAnsi="宋体" w:eastAsia="宋体" w:cs="宋体"/>
                <w:b/>
                <w:bCs/>
                <w:sz w:val="21"/>
                <w:szCs w:val="21"/>
              </w:rPr>
              <w:t>0分）</w:t>
            </w:r>
          </w:p>
        </w:tc>
      </w:tr>
      <w:tr w14:paraId="3BE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5FE860C6">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投标报价</w:t>
            </w:r>
          </w:p>
        </w:tc>
        <w:tc>
          <w:tcPr>
            <w:tcW w:w="981" w:type="dxa"/>
            <w:vAlign w:val="center"/>
          </w:tcPr>
          <w:p w14:paraId="2558E90D">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0</w:t>
            </w:r>
          </w:p>
        </w:tc>
        <w:tc>
          <w:tcPr>
            <w:tcW w:w="6958" w:type="dxa"/>
            <w:vAlign w:val="center"/>
          </w:tcPr>
          <w:p w14:paraId="218D97BD">
            <w:pPr>
              <w:keepNext w:val="0"/>
              <w:keepLines w:val="0"/>
              <w:pageBreakBefore w:val="0"/>
              <w:widowControl w:val="0"/>
              <w:kinsoku/>
              <w:wordWrap/>
              <w:overflowPunct/>
              <w:bidi w:val="0"/>
              <w:snapToGrid/>
              <w:spacing w:line="360" w:lineRule="auto"/>
              <w:ind w:right="100"/>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本项目</w:t>
            </w:r>
            <w:r>
              <w:rPr>
                <w:rFonts w:hint="eastAsia" w:ascii="宋体" w:hAnsi="宋体" w:eastAsia="宋体" w:cs="宋体"/>
                <w:sz w:val="24"/>
                <w:szCs w:val="24"/>
                <w14:textOutline w14:w="4354" w14:cap="flat" w14:cmpd="sng">
                  <w14:solidFill>
                    <w14:srgbClr w14:val="000000"/>
                  </w14:solidFill>
                  <w14:prstDash w14:val="solid"/>
                  <w14:miter w14:val="0"/>
                </w14:textOutline>
              </w:rPr>
              <w:t>最高限价为</w:t>
            </w:r>
            <w:r>
              <w:rPr>
                <w:rFonts w:hint="eastAsia" w:ascii="宋体" w:hAnsi="宋体" w:cs="宋体"/>
                <w:sz w:val="24"/>
                <w:szCs w:val="24"/>
                <w:lang w:val="en-US" w:eastAsia="zh-CN"/>
                <w14:textOutline w14:w="4354" w14:cap="flat" w14:cmpd="sng">
                  <w14:solidFill>
                    <w14:srgbClr w14:val="000000"/>
                  </w14:solidFill>
                  <w14:prstDash w14:val="solid"/>
                  <w14:miter w14:val="0"/>
                </w14:textOutline>
              </w:rPr>
              <w:t>350000</w:t>
            </w:r>
            <w:r>
              <w:rPr>
                <w:rFonts w:hint="eastAsia" w:ascii="宋体" w:hAnsi="宋体" w:eastAsia="宋体" w:cs="宋体"/>
                <w:sz w:val="24"/>
                <w:szCs w:val="24"/>
                <w14:textOutline w14:w="4354" w14:cap="flat" w14:cmpd="sng">
                  <w14:solidFill>
                    <w14:srgbClr w14:val="000000"/>
                  </w14:solidFill>
                  <w14:prstDash w14:val="solid"/>
                  <w14:miter w14:val="0"/>
                </w14:textOutline>
              </w:rPr>
              <w:t>元(大写：叁拾伍万元整</w:t>
            </w:r>
            <w:r>
              <w:rPr>
                <w:rFonts w:hint="eastAsia" w:ascii="宋体" w:hAnsi="宋体" w:cs="宋体"/>
                <w:sz w:val="24"/>
                <w:szCs w:val="24"/>
                <w:lang w:val="en-US" w:eastAsia="zh-CN"/>
                <w14:textOutline w14:w="4354" w14:cap="flat" w14:cmpd="sng">
                  <w14:solidFill>
                    <w14:srgbClr w14:val="000000"/>
                  </w14:solidFill>
                  <w14:prstDash w14:val="solid"/>
                  <w14:miter w14:val="0"/>
                </w14:textOutline>
              </w:rPr>
              <w:t>,含his接口费</w:t>
            </w:r>
            <w:bookmarkStart w:id="0" w:name="_GoBack"/>
            <w:bookmarkEnd w:id="0"/>
            <w:r>
              <w:rPr>
                <w:rFonts w:hint="eastAsia" w:ascii="宋体" w:hAnsi="宋体" w:eastAsia="宋体" w:cs="宋体"/>
                <w:sz w:val="24"/>
                <w:szCs w:val="24"/>
                <w14:textOutline w14:w="4354" w14:cap="flat" w14:cmpd="sng">
                  <w14:solidFill>
                    <w14:srgbClr w14:val="000000"/>
                  </w14:solidFill>
                  <w14:prstDash w14:val="solid"/>
                  <w14:miter w14:val="0"/>
                </w14:textOutline>
              </w:rPr>
              <w:t>)</w:t>
            </w:r>
            <w:r>
              <w:rPr>
                <w:rFonts w:hint="eastAsia" w:ascii="宋体" w:hAnsi="宋体" w:eastAsia="宋体" w:cs="宋体"/>
                <w:sz w:val="24"/>
                <w:szCs w:val="24"/>
              </w:rPr>
              <w:t xml:space="preserve"> </w:t>
            </w:r>
            <w:r>
              <w:rPr>
                <w:rFonts w:hint="eastAsia" w:ascii="宋体" w:hAnsi="宋体" w:eastAsia="宋体" w:cs="宋体"/>
                <w:sz w:val="24"/>
                <w:szCs w:val="24"/>
                <w14:textOutline w14:w="4354" w14:cap="flat" w14:cmpd="sng">
                  <w14:solidFill>
                    <w14:srgbClr w14:val="000000"/>
                  </w14:solidFill>
                  <w14:prstDash w14:val="solid"/>
                  <w14:miter w14:val="0"/>
                </w14:textOutline>
              </w:rPr>
              <w:t>，投标报价</w:t>
            </w: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高于此最高限价均为无效标</w:t>
            </w:r>
            <w:r>
              <w:rPr>
                <w:rFonts w:hint="eastAsia" w:ascii="宋体" w:hAnsi="宋体" w:eastAsia="宋体" w:cs="宋体"/>
                <w:sz w:val="24"/>
                <w:szCs w:val="24"/>
                <w14:textOutline w14:w="4354" w14:cap="flat" w14:cmpd="sng">
                  <w14:solidFill>
                    <w14:srgbClr w14:val="000000"/>
                  </w14:solidFill>
                  <w14:prstDash w14:val="solid"/>
                  <w14:miter w14:val="0"/>
                </w14:textOutline>
              </w:rPr>
              <w:t>。</w:t>
            </w:r>
          </w:p>
          <w:p w14:paraId="45D0BB3A">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评标基准值=有效投标人投标报价的算术平均值。</w:t>
            </w:r>
          </w:p>
          <w:p w14:paraId="47C8D859">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投标人有效评标价与基准价相等的得满分</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w:t>
            </w:r>
            <w:r>
              <w:rPr>
                <w:rFonts w:hint="eastAsia" w:ascii="宋体" w:hAnsi="宋体" w:eastAsia="宋体" w:cs="宋体"/>
                <w:sz w:val="21"/>
                <w:szCs w:val="21"/>
              </w:rPr>
              <w:t>分，每偏离＋1％扣0.5分，每偏离－1％扣0.3分，最多扣1</w:t>
            </w:r>
            <w:r>
              <w:rPr>
                <w:rFonts w:hint="eastAsia" w:ascii="宋体" w:hAnsi="宋体" w:cs="宋体"/>
                <w:sz w:val="21"/>
                <w:szCs w:val="21"/>
                <w:lang w:val="en-US" w:eastAsia="zh-CN"/>
              </w:rPr>
              <w:t>6</w:t>
            </w:r>
            <w:r>
              <w:rPr>
                <w:rFonts w:hint="eastAsia" w:ascii="宋体" w:hAnsi="宋体" w:eastAsia="宋体" w:cs="宋体"/>
                <w:sz w:val="21"/>
                <w:szCs w:val="21"/>
              </w:rPr>
              <w:t>分。不足1％的按插入法计算，计算过程及计算结果保留两位有效小数，第三位四舍五入。</w:t>
            </w:r>
          </w:p>
        </w:tc>
      </w:tr>
      <w:tr w14:paraId="15F9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9" w:type="dxa"/>
            <w:gridSpan w:val="3"/>
            <w:vAlign w:val="center"/>
          </w:tcPr>
          <w:p w14:paraId="0AC9782D">
            <w:pPr>
              <w:pStyle w:val="5"/>
              <w:keepNext w:val="0"/>
              <w:keepLines w:val="0"/>
              <w:pageBreakBefore w:val="0"/>
              <w:widowControl w:val="0"/>
              <w:kinsoku/>
              <w:wordWrap/>
              <w:overflowPunct/>
              <w:bidi w:val="0"/>
              <w:snapToGrid/>
              <w:spacing w:after="0" w:line="276" w:lineRule="auto"/>
              <w:jc w:val="left"/>
              <w:rPr>
                <w:rFonts w:hint="eastAsia" w:ascii="宋体" w:hAnsi="宋体" w:eastAsia="宋体" w:cs="宋体"/>
                <w:b/>
                <w:bCs/>
                <w:sz w:val="21"/>
                <w:szCs w:val="21"/>
              </w:rPr>
            </w:pPr>
            <w:r>
              <w:rPr>
                <w:rFonts w:hint="eastAsia" w:ascii="宋体" w:hAnsi="宋体" w:eastAsia="宋体" w:cs="宋体"/>
                <w:b/>
                <w:bCs/>
                <w:sz w:val="21"/>
                <w:szCs w:val="21"/>
              </w:rPr>
              <w:t>二、技术部分（</w:t>
            </w:r>
            <w:r>
              <w:rPr>
                <w:rFonts w:hint="eastAsia" w:ascii="宋体" w:hAnsi="宋体" w:cs="宋体"/>
                <w:b/>
                <w:bCs/>
                <w:sz w:val="21"/>
                <w:szCs w:val="21"/>
                <w:lang w:val="en-US" w:eastAsia="zh-CN"/>
              </w:rPr>
              <w:t>45</w:t>
            </w:r>
            <w:r>
              <w:rPr>
                <w:rFonts w:hint="eastAsia" w:ascii="宋体" w:hAnsi="宋体" w:eastAsia="宋体" w:cs="宋体"/>
                <w:b/>
                <w:bCs/>
                <w:sz w:val="21"/>
                <w:szCs w:val="21"/>
              </w:rPr>
              <w:t>分）</w:t>
            </w:r>
          </w:p>
        </w:tc>
      </w:tr>
      <w:tr w14:paraId="1098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01346B77">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产品性能、技术指标</w:t>
            </w:r>
          </w:p>
          <w:p w14:paraId="51266225">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6507A3B1">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6958" w:type="dxa"/>
            <w:vAlign w:val="center"/>
          </w:tcPr>
          <w:p w14:paraId="264A73AD">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招标</w:t>
            </w:r>
            <w:r>
              <w:rPr>
                <w:rFonts w:hint="eastAsia" w:ascii="宋体" w:hAnsi="宋体" w:eastAsia="宋体" w:cs="宋体"/>
                <w:sz w:val="21"/>
                <w:szCs w:val="21"/>
              </w:rPr>
              <w:t>要求”中的技术</w:t>
            </w:r>
            <w:r>
              <w:rPr>
                <w:rFonts w:hint="eastAsia" w:ascii="宋体" w:hAnsi="宋体" w:cs="宋体"/>
                <w:sz w:val="21"/>
                <w:szCs w:val="21"/>
                <w:lang w:eastAsia="zh-CN"/>
              </w:rPr>
              <w:t>与功能要求</w:t>
            </w:r>
            <w:r>
              <w:rPr>
                <w:rFonts w:hint="eastAsia" w:ascii="宋体" w:hAnsi="宋体" w:eastAsia="宋体" w:cs="宋体"/>
                <w:sz w:val="21"/>
                <w:szCs w:val="21"/>
              </w:rPr>
              <w:t>情况进行打分：</w:t>
            </w:r>
          </w:p>
          <w:p w14:paraId="24B5B27E">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系统功能需求为重点参数，需提供系统功能截图并加盖投标人公章，每有一项负偏离扣1分。满分5分，扣完为止。</w:t>
            </w:r>
          </w:p>
        </w:tc>
      </w:tr>
      <w:tr w14:paraId="7959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Merge w:val="restart"/>
            <w:vAlign w:val="center"/>
          </w:tcPr>
          <w:p w14:paraId="7BD82457">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技术方案</w:t>
            </w:r>
          </w:p>
          <w:p w14:paraId="7BA92819">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4F79E3B3">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6958" w:type="dxa"/>
            <w:vAlign w:val="center"/>
          </w:tcPr>
          <w:p w14:paraId="1197609F">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技术方案：对总体设计、数据中心、应用中心、业务通用能力设计、接口方案、数据安全方案等做详细阐述。</w:t>
            </w:r>
          </w:p>
          <w:p w14:paraId="30E41614">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技术架构、数据中心等设计合理、数据安全性高得</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 xml:space="preserve">分； </w:t>
            </w:r>
          </w:p>
          <w:p w14:paraId="0BAAFFAD">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技术架构、数据中心等设计比较合理、数据安全性一般得</w:t>
            </w:r>
            <w:r>
              <w:rPr>
                <w:rFonts w:hint="eastAsia" w:ascii="宋体" w:hAnsi="宋体" w:cs="宋体"/>
                <w:sz w:val="21"/>
                <w:szCs w:val="21"/>
                <w:lang w:val="en-US" w:eastAsia="zh-CN"/>
              </w:rPr>
              <w:t>2</w:t>
            </w: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分；</w:t>
            </w:r>
          </w:p>
          <w:p w14:paraId="5602D32B">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技术架构设计一般、针对性及数据安全性较差1分；</w:t>
            </w:r>
          </w:p>
          <w:p w14:paraId="308A571F">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未提供不得分。</w:t>
            </w:r>
          </w:p>
        </w:tc>
      </w:tr>
      <w:tr w14:paraId="0A3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Merge w:val="continue"/>
            <w:vAlign w:val="center"/>
          </w:tcPr>
          <w:p w14:paraId="5D1703DF">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p>
        </w:tc>
        <w:tc>
          <w:tcPr>
            <w:tcW w:w="981" w:type="dxa"/>
            <w:vAlign w:val="center"/>
          </w:tcPr>
          <w:p w14:paraId="069DAE27">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6958" w:type="dxa"/>
            <w:vAlign w:val="center"/>
          </w:tcPr>
          <w:p w14:paraId="736F34E4">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建设方案：对项目整体需求分析、系统功能设计情况做详细阐述。</w:t>
            </w:r>
          </w:p>
          <w:p w14:paraId="3301A710">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对项目需求理解充分，分析准确，各系统模块设计科学合理，满足项目要求得</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cs="宋体"/>
                <w:sz w:val="21"/>
                <w:szCs w:val="21"/>
                <w:lang w:val="en-US" w:eastAsia="zh-CN"/>
              </w:rPr>
              <w:t>5</w:t>
            </w:r>
            <w:r>
              <w:rPr>
                <w:rFonts w:hint="eastAsia" w:ascii="宋体" w:hAnsi="宋体" w:eastAsia="宋体" w:cs="宋体"/>
                <w:sz w:val="21"/>
                <w:szCs w:val="21"/>
              </w:rPr>
              <w:t>分；</w:t>
            </w:r>
          </w:p>
          <w:p w14:paraId="6B04AB00">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对项目需求理解比较充分，各系统模块设计比较科学合理，基本满足项目要求得3-4分；</w:t>
            </w:r>
          </w:p>
          <w:p w14:paraId="2E1CA504">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对项目需求理解一般，各系统模块设计基本满足项目要求得1-2分；</w:t>
            </w:r>
          </w:p>
          <w:p w14:paraId="56717F3B">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未提供不得分。</w:t>
            </w:r>
          </w:p>
        </w:tc>
      </w:tr>
      <w:tr w14:paraId="7789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7E2C0379">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实施方案</w:t>
            </w:r>
          </w:p>
          <w:p w14:paraId="0A6B003B">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10</w:t>
            </w:r>
            <w:r>
              <w:rPr>
                <w:rFonts w:hint="eastAsia" w:ascii="宋体" w:hAnsi="宋体" w:eastAsia="宋体" w:cs="宋体"/>
                <w:sz w:val="21"/>
                <w:szCs w:val="21"/>
              </w:rPr>
              <w:t>分）</w:t>
            </w:r>
          </w:p>
        </w:tc>
        <w:tc>
          <w:tcPr>
            <w:tcW w:w="981" w:type="dxa"/>
            <w:vAlign w:val="center"/>
          </w:tcPr>
          <w:p w14:paraId="32246A2E">
            <w:pPr>
              <w:pStyle w:val="5"/>
              <w:keepNext w:val="0"/>
              <w:keepLines w:val="0"/>
              <w:pageBreakBefore w:val="0"/>
              <w:widowControl w:val="0"/>
              <w:kinsoku/>
              <w:wordWrap/>
              <w:overflowPunct/>
              <w:bidi w:val="0"/>
              <w:snapToGrid/>
              <w:spacing w:after="0"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6958" w:type="dxa"/>
            <w:vAlign w:val="center"/>
          </w:tcPr>
          <w:p w14:paraId="68897608">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实施方案：根据招标文件中的功能需求，是否有完整的实施方案，包括项目管理方案、系统实施方案、项目实施进度控制、项目质量保障措施等。（0-</w:t>
            </w:r>
            <w:r>
              <w:rPr>
                <w:rFonts w:hint="eastAsia" w:ascii="宋体" w:hAnsi="宋体" w:cs="宋体"/>
                <w:sz w:val="21"/>
                <w:szCs w:val="21"/>
                <w:lang w:val="en-US" w:eastAsia="zh-CN"/>
              </w:rPr>
              <w:t>10</w:t>
            </w:r>
            <w:r>
              <w:rPr>
                <w:rFonts w:hint="eastAsia" w:ascii="宋体" w:hAnsi="宋体" w:eastAsia="宋体" w:cs="宋体"/>
                <w:sz w:val="21"/>
                <w:szCs w:val="21"/>
              </w:rPr>
              <w:t>分）</w:t>
            </w:r>
          </w:p>
          <w:p w14:paraId="7E9BD334">
            <w:pPr>
              <w:keepNext w:val="0"/>
              <w:keepLines w:val="0"/>
              <w:pageBreakBefore w:val="0"/>
              <w:widowControl w:val="0"/>
              <w:kinsoku/>
              <w:wordWrap/>
              <w:overflowPunct/>
              <w:bidi w:val="0"/>
              <w:snapToGrid/>
              <w:spacing w:line="276" w:lineRule="auto"/>
              <w:rPr>
                <w:rFonts w:hint="eastAsia" w:ascii="宋体" w:hAnsi="宋体" w:eastAsia="宋体" w:cs="宋体"/>
                <w:sz w:val="21"/>
                <w:szCs w:val="21"/>
              </w:rPr>
            </w:pPr>
            <w:r>
              <w:rPr>
                <w:rFonts w:hint="eastAsia" w:ascii="宋体" w:hAnsi="宋体" w:eastAsia="宋体" w:cs="宋体"/>
                <w:sz w:val="21"/>
                <w:szCs w:val="21"/>
              </w:rPr>
              <w:t>实施方案内容详实，系统实施流程、工期进度计划、人员配备、质量保障措施科学合理得</w:t>
            </w:r>
            <w:r>
              <w:rPr>
                <w:rFonts w:hint="eastAsia" w:ascii="宋体" w:hAnsi="宋体" w:cs="宋体"/>
                <w:sz w:val="21"/>
                <w:szCs w:val="21"/>
                <w:lang w:val="en-US" w:eastAsia="zh-CN"/>
              </w:rPr>
              <w:t>9</w:t>
            </w:r>
            <w:r>
              <w:rPr>
                <w:rFonts w:hint="eastAsia" w:ascii="宋体" w:hAnsi="宋体" w:eastAsia="宋体" w:cs="宋体"/>
                <w:sz w:val="21"/>
                <w:szCs w:val="21"/>
              </w:rPr>
              <w:t>-</w:t>
            </w:r>
            <w:r>
              <w:rPr>
                <w:rFonts w:hint="eastAsia" w:ascii="宋体" w:hAnsi="宋体" w:cs="宋体"/>
                <w:sz w:val="21"/>
                <w:szCs w:val="21"/>
                <w:lang w:val="en-US" w:eastAsia="zh-CN"/>
              </w:rPr>
              <w:t>10</w:t>
            </w:r>
            <w:r>
              <w:rPr>
                <w:rFonts w:hint="eastAsia" w:ascii="宋体" w:hAnsi="宋体" w:eastAsia="宋体" w:cs="宋体"/>
                <w:sz w:val="21"/>
                <w:szCs w:val="21"/>
              </w:rPr>
              <w:t>分；</w:t>
            </w:r>
          </w:p>
          <w:p w14:paraId="0F847482">
            <w:pPr>
              <w:pStyle w:val="14"/>
              <w:keepNext w:val="0"/>
              <w:keepLines w:val="0"/>
              <w:pageBreakBefore w:val="0"/>
              <w:widowControl w:val="0"/>
              <w:kinsoku/>
              <w:wordWrap/>
              <w:overflowPunct/>
              <w:bidi w:val="0"/>
              <w:snapToGrid/>
              <w:spacing w:line="276" w:lineRule="auto"/>
              <w:rPr>
                <w:rFonts w:hint="eastAsia" w:ascii="宋体" w:hAnsi="宋体" w:eastAsia="宋体" w:cs="宋体"/>
                <w:sz w:val="21"/>
                <w:szCs w:val="21"/>
              </w:rPr>
            </w:pPr>
            <w:r>
              <w:rPr>
                <w:rFonts w:hint="eastAsia" w:ascii="宋体" w:hAnsi="宋体" w:eastAsia="宋体" w:cs="宋体"/>
                <w:sz w:val="21"/>
                <w:szCs w:val="21"/>
              </w:rPr>
              <w:t>实施方案内容比较详实，系统实施流程、工期进度计划、人员配备、质量保障措施基本合理得</w:t>
            </w:r>
            <w:r>
              <w:rPr>
                <w:rFonts w:hint="eastAsia" w:hAnsi="宋体" w:cs="宋体"/>
                <w:sz w:val="21"/>
                <w:szCs w:val="21"/>
                <w:lang w:val="en-US" w:eastAsia="zh-CN"/>
              </w:rPr>
              <w:t>7</w:t>
            </w:r>
            <w:r>
              <w:rPr>
                <w:rFonts w:hint="eastAsia" w:ascii="宋体" w:hAnsi="宋体" w:eastAsia="宋体" w:cs="宋体"/>
                <w:sz w:val="21"/>
                <w:szCs w:val="21"/>
              </w:rPr>
              <w:t>-</w:t>
            </w:r>
            <w:r>
              <w:rPr>
                <w:rFonts w:hint="eastAsia" w:hAnsi="宋体" w:cs="宋体"/>
                <w:sz w:val="21"/>
                <w:szCs w:val="21"/>
                <w:lang w:val="en-US" w:eastAsia="zh-CN"/>
              </w:rPr>
              <w:t>8</w:t>
            </w:r>
            <w:r>
              <w:rPr>
                <w:rFonts w:hint="eastAsia" w:ascii="宋体" w:hAnsi="宋体" w:eastAsia="宋体" w:cs="宋体"/>
                <w:sz w:val="21"/>
                <w:szCs w:val="21"/>
              </w:rPr>
              <w:t>分；</w:t>
            </w:r>
          </w:p>
          <w:p w14:paraId="2E610907">
            <w:pPr>
              <w:pStyle w:val="14"/>
              <w:keepNext w:val="0"/>
              <w:keepLines w:val="0"/>
              <w:pageBreakBefore w:val="0"/>
              <w:widowControl w:val="0"/>
              <w:kinsoku/>
              <w:wordWrap/>
              <w:overflowPunct/>
              <w:bidi w:val="0"/>
              <w:snapToGrid/>
              <w:spacing w:line="276" w:lineRule="auto"/>
              <w:rPr>
                <w:rFonts w:hint="eastAsia" w:ascii="宋体" w:hAnsi="宋体" w:eastAsia="宋体" w:cs="宋体"/>
                <w:sz w:val="21"/>
                <w:szCs w:val="21"/>
              </w:rPr>
            </w:pPr>
            <w:r>
              <w:rPr>
                <w:rFonts w:hint="eastAsia" w:ascii="宋体" w:hAnsi="宋体" w:eastAsia="宋体" w:cs="宋体"/>
                <w:sz w:val="21"/>
                <w:szCs w:val="21"/>
              </w:rPr>
              <w:t>实施方案内容一般，系统实施流程、工期进度计划、人员配备、质量保障措施较差得</w:t>
            </w:r>
            <w:r>
              <w:rPr>
                <w:rFonts w:hint="eastAsia" w:hAnsi="宋体" w:cs="宋体"/>
                <w:sz w:val="21"/>
                <w:szCs w:val="21"/>
                <w:lang w:val="en-US" w:eastAsia="zh-CN"/>
              </w:rPr>
              <w:t>5</w:t>
            </w:r>
            <w:r>
              <w:rPr>
                <w:rFonts w:hint="eastAsia" w:ascii="宋体" w:hAnsi="宋体" w:eastAsia="宋体" w:cs="宋体"/>
                <w:sz w:val="21"/>
                <w:szCs w:val="21"/>
              </w:rPr>
              <w:t>分；</w:t>
            </w:r>
          </w:p>
          <w:p w14:paraId="483F44C0">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未提供不得分。</w:t>
            </w:r>
          </w:p>
        </w:tc>
      </w:tr>
      <w:tr w14:paraId="7BE3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68C1C2E0">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验收方案（</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2D04E00F">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cs="宋体"/>
                <w:sz w:val="21"/>
                <w:szCs w:val="21"/>
                <w:lang w:val="en-US" w:eastAsia="zh-CN"/>
              </w:rPr>
              <w:t>5</w:t>
            </w:r>
          </w:p>
        </w:tc>
        <w:tc>
          <w:tcPr>
            <w:tcW w:w="6958" w:type="dxa"/>
            <w:vAlign w:val="center"/>
          </w:tcPr>
          <w:p w14:paraId="438ADECB">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验收方案：验收方案应详细阐述项目验收前提条件、验收程序、验收依据，以及验收的内容与标准等。（0-</w:t>
            </w:r>
            <w:r>
              <w:rPr>
                <w:rFonts w:hint="eastAsia" w:ascii="宋体" w:hAnsi="宋体" w:cs="宋体"/>
                <w:sz w:val="21"/>
                <w:szCs w:val="21"/>
                <w:lang w:val="en-US" w:eastAsia="zh-CN"/>
              </w:rPr>
              <w:t>5</w:t>
            </w:r>
            <w:r>
              <w:rPr>
                <w:rFonts w:hint="eastAsia" w:ascii="宋体" w:hAnsi="宋体" w:eastAsia="宋体" w:cs="宋体"/>
                <w:sz w:val="21"/>
                <w:szCs w:val="21"/>
              </w:rPr>
              <w:t>分）</w:t>
            </w:r>
          </w:p>
          <w:p w14:paraId="3040189B">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验收方案科学合理，内容详实且切实可行，得</w:t>
            </w:r>
            <w:r>
              <w:rPr>
                <w:rFonts w:hint="eastAsia" w:ascii="宋体" w:hAnsi="宋体" w:cs="宋体"/>
                <w:sz w:val="21"/>
                <w:szCs w:val="21"/>
                <w:lang w:val="en-US" w:eastAsia="zh-CN"/>
              </w:rPr>
              <w:t>4-5</w:t>
            </w:r>
            <w:r>
              <w:rPr>
                <w:rFonts w:hint="eastAsia" w:ascii="宋体" w:hAnsi="宋体" w:eastAsia="宋体" w:cs="宋体"/>
                <w:sz w:val="21"/>
                <w:szCs w:val="21"/>
              </w:rPr>
              <w:t xml:space="preserve">分； </w:t>
            </w:r>
          </w:p>
          <w:p w14:paraId="5B7A5358">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验收方案较为科学合理，内容详实，具有一定的可行性，得</w:t>
            </w:r>
            <w:r>
              <w:rPr>
                <w:rFonts w:hint="eastAsia" w:ascii="宋体" w:hAnsi="宋体" w:cs="宋体"/>
                <w:sz w:val="21"/>
                <w:szCs w:val="21"/>
                <w:lang w:val="en-US" w:eastAsia="zh-CN"/>
              </w:rPr>
              <w:t>3-4</w:t>
            </w:r>
            <w:r>
              <w:rPr>
                <w:rFonts w:hint="eastAsia" w:ascii="宋体" w:hAnsi="宋体" w:eastAsia="宋体" w:cs="宋体"/>
                <w:sz w:val="21"/>
                <w:szCs w:val="21"/>
              </w:rPr>
              <w:t xml:space="preserve">分； </w:t>
            </w:r>
          </w:p>
          <w:p w14:paraId="253C79F8">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验收方案及相关内容较为一般，有不足之处，得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63D8B5DA">
            <w:pPr>
              <w:keepNext w:val="0"/>
              <w:keepLines w:val="0"/>
              <w:pageBreakBefore w:val="0"/>
              <w:widowControl w:val="0"/>
              <w:kinsoku/>
              <w:wordWrap/>
              <w:overflowPunct/>
              <w:bidi w:val="0"/>
              <w:snapToGrid/>
              <w:rPr>
                <w:rFonts w:hint="eastAsia" w:ascii="宋体" w:hAnsi="宋体" w:eastAsia="宋体" w:cs="宋体"/>
              </w:rPr>
            </w:pPr>
            <w:r>
              <w:rPr>
                <w:rFonts w:hint="eastAsia" w:ascii="宋体" w:hAnsi="宋体" w:eastAsia="宋体" w:cs="宋体"/>
                <w:sz w:val="21"/>
                <w:szCs w:val="21"/>
              </w:rPr>
              <w:t>未提供不得分。</w:t>
            </w:r>
          </w:p>
        </w:tc>
      </w:tr>
      <w:tr w14:paraId="577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15A96CA7">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培训方案（</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354B4175">
            <w:pPr>
              <w:pStyle w:val="5"/>
              <w:keepNext w:val="0"/>
              <w:keepLines w:val="0"/>
              <w:pageBreakBefore w:val="0"/>
              <w:widowControl w:val="0"/>
              <w:kinsoku/>
              <w:wordWrap/>
              <w:overflowPunct/>
              <w:bidi w:val="0"/>
              <w:snapToGrid/>
              <w:spacing w:after="0"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6958" w:type="dxa"/>
            <w:vAlign w:val="center"/>
          </w:tcPr>
          <w:p w14:paraId="2F32246D">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培训计划：包括培训内容、时间、地点、人次，费用计入总报价；系统计算机管理人员培训，重点培训为软件的安装、维护、调试、配置及使用技能；业务人员培训，重点对相应应用的操作、使用。（0-</w:t>
            </w:r>
            <w:r>
              <w:rPr>
                <w:rFonts w:hint="eastAsia" w:ascii="宋体" w:hAnsi="宋体" w:cs="宋体"/>
                <w:sz w:val="21"/>
                <w:szCs w:val="21"/>
                <w:lang w:val="en-US" w:eastAsia="zh-CN"/>
              </w:rPr>
              <w:t>10</w:t>
            </w:r>
            <w:r>
              <w:rPr>
                <w:rFonts w:hint="eastAsia" w:ascii="宋体" w:hAnsi="宋体" w:eastAsia="宋体" w:cs="宋体"/>
                <w:sz w:val="21"/>
                <w:szCs w:val="21"/>
              </w:rPr>
              <w:t>分）</w:t>
            </w:r>
          </w:p>
          <w:p w14:paraId="23ADDD1E">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培训计划科学合理，培训内容全面得</w:t>
            </w:r>
            <w:r>
              <w:rPr>
                <w:rFonts w:hint="eastAsia" w:ascii="宋体" w:hAnsi="宋体" w:cs="宋体"/>
                <w:sz w:val="21"/>
                <w:szCs w:val="21"/>
                <w:lang w:val="en-US" w:eastAsia="zh-CN"/>
              </w:rPr>
              <w:t>9-10</w:t>
            </w:r>
            <w:r>
              <w:rPr>
                <w:rFonts w:hint="eastAsia" w:ascii="宋体" w:hAnsi="宋体" w:eastAsia="宋体" w:cs="宋体"/>
                <w:sz w:val="21"/>
                <w:szCs w:val="21"/>
              </w:rPr>
              <w:t>分；</w:t>
            </w:r>
          </w:p>
          <w:p w14:paraId="0647B1B3">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培训计划较科学合理，培训内容较全面得</w:t>
            </w:r>
            <w:r>
              <w:rPr>
                <w:rFonts w:hint="eastAsia" w:ascii="宋体" w:hAnsi="宋体" w:cs="宋体"/>
                <w:sz w:val="21"/>
                <w:szCs w:val="21"/>
                <w:lang w:val="en-US" w:eastAsia="zh-CN"/>
              </w:rPr>
              <w:t>7-8</w:t>
            </w:r>
            <w:r>
              <w:rPr>
                <w:rFonts w:hint="eastAsia" w:ascii="宋体" w:hAnsi="宋体" w:eastAsia="宋体" w:cs="宋体"/>
                <w:sz w:val="21"/>
                <w:szCs w:val="21"/>
              </w:rPr>
              <w:t xml:space="preserve">分； </w:t>
            </w:r>
          </w:p>
          <w:p w14:paraId="505F3F90">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培训计划及培训内容一般，有不足之处，得</w:t>
            </w:r>
            <w:r>
              <w:rPr>
                <w:rFonts w:hint="eastAsia" w:ascii="宋体" w:hAnsi="宋体" w:cs="宋体"/>
                <w:sz w:val="21"/>
                <w:szCs w:val="21"/>
                <w:lang w:val="en-US" w:eastAsia="zh-CN"/>
              </w:rPr>
              <w:t>5</w:t>
            </w:r>
            <w:r>
              <w:rPr>
                <w:rFonts w:hint="eastAsia" w:ascii="宋体" w:hAnsi="宋体" w:eastAsia="宋体" w:cs="宋体"/>
                <w:sz w:val="21"/>
                <w:szCs w:val="21"/>
              </w:rPr>
              <w:t>分；</w:t>
            </w:r>
          </w:p>
          <w:p w14:paraId="33C9396F">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未提供不得分。</w:t>
            </w:r>
          </w:p>
        </w:tc>
      </w:tr>
      <w:tr w14:paraId="7E71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270" w:type="dxa"/>
            <w:vAlign w:val="center"/>
          </w:tcPr>
          <w:p w14:paraId="3CB103A9">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售后服务方案（</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4F105E6B">
            <w:pPr>
              <w:pStyle w:val="5"/>
              <w:keepNext w:val="0"/>
              <w:keepLines w:val="0"/>
              <w:pageBreakBefore w:val="0"/>
              <w:widowControl w:val="0"/>
              <w:kinsoku/>
              <w:wordWrap/>
              <w:overflowPunct/>
              <w:bidi w:val="0"/>
              <w:snapToGrid/>
              <w:spacing w:after="0"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6958" w:type="dxa"/>
            <w:vAlign w:val="center"/>
          </w:tcPr>
          <w:p w14:paraId="6EB21B64">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投标人提供的售后服务方案、售后服务承诺、保障措施、故障排除速度及维护期内外的后续技术支持和维护能力。（0-5分）</w:t>
            </w:r>
          </w:p>
          <w:p w14:paraId="19531B7E">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售后服务方案及保障措施科学完善、服务承诺明确、满足采购人的各项维护要求，响应机制合理：4-5分；</w:t>
            </w:r>
          </w:p>
          <w:p w14:paraId="11EDAB22">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售后服务方案及保障措施基本完善、服务承诺明确、基本满足采购人的各项维护要求，响应机制一般：2-3分；</w:t>
            </w:r>
          </w:p>
          <w:p w14:paraId="1B4BA387">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售后服务方案及保障措施较差、响应时限及机制一般，得1分；</w:t>
            </w:r>
          </w:p>
          <w:p w14:paraId="0283E755">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未提供不得分。</w:t>
            </w:r>
          </w:p>
        </w:tc>
      </w:tr>
      <w:tr w14:paraId="615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9" w:type="dxa"/>
            <w:gridSpan w:val="3"/>
            <w:vAlign w:val="center"/>
          </w:tcPr>
          <w:p w14:paraId="1A32DD37">
            <w:pPr>
              <w:pStyle w:val="5"/>
              <w:keepNext w:val="0"/>
              <w:keepLines w:val="0"/>
              <w:pageBreakBefore w:val="0"/>
              <w:widowControl w:val="0"/>
              <w:kinsoku/>
              <w:wordWrap/>
              <w:overflowPunct/>
              <w:bidi w:val="0"/>
              <w:snapToGrid/>
              <w:spacing w:after="0" w:line="276" w:lineRule="auto"/>
              <w:jc w:val="left"/>
              <w:rPr>
                <w:rFonts w:hint="eastAsia" w:ascii="宋体" w:hAnsi="宋体" w:eastAsia="宋体" w:cs="宋体"/>
                <w:b/>
                <w:bCs/>
                <w:sz w:val="21"/>
                <w:szCs w:val="21"/>
              </w:rPr>
            </w:pPr>
            <w:r>
              <w:rPr>
                <w:rFonts w:hint="eastAsia" w:ascii="宋体" w:hAnsi="宋体" w:eastAsia="宋体" w:cs="宋体"/>
                <w:b/>
                <w:bCs/>
                <w:sz w:val="21"/>
                <w:szCs w:val="21"/>
              </w:rPr>
              <w:t>三、商务部分（</w:t>
            </w:r>
            <w:r>
              <w:rPr>
                <w:rFonts w:hint="eastAsia" w:ascii="宋体" w:hAnsi="宋体" w:cs="宋体"/>
                <w:b/>
                <w:bCs/>
                <w:sz w:val="21"/>
                <w:szCs w:val="21"/>
                <w:lang w:val="en-US" w:eastAsia="zh-CN"/>
              </w:rPr>
              <w:t>15</w:t>
            </w:r>
            <w:r>
              <w:rPr>
                <w:rFonts w:hint="eastAsia" w:ascii="宋体" w:hAnsi="宋体" w:eastAsia="宋体" w:cs="宋体"/>
                <w:b/>
                <w:bCs/>
                <w:sz w:val="21"/>
                <w:szCs w:val="21"/>
              </w:rPr>
              <w:t>分）</w:t>
            </w:r>
          </w:p>
        </w:tc>
      </w:tr>
      <w:tr w14:paraId="09A1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76ADB47E">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rPr>
            </w:pPr>
            <w:r>
              <w:rPr>
                <w:rFonts w:hint="eastAsia" w:ascii="宋体" w:hAnsi="宋体" w:eastAsia="宋体" w:cs="宋体"/>
                <w:sz w:val="21"/>
                <w:szCs w:val="21"/>
              </w:rPr>
              <w:t>项目服务人员（</w:t>
            </w:r>
            <w:r>
              <w:rPr>
                <w:rFonts w:hint="eastAsia" w:ascii="宋体" w:hAnsi="宋体" w:cs="宋体"/>
                <w:sz w:val="21"/>
                <w:szCs w:val="21"/>
                <w:lang w:val="en-US" w:eastAsia="zh-CN"/>
              </w:rPr>
              <w:t>10</w:t>
            </w:r>
            <w:r>
              <w:rPr>
                <w:rFonts w:hint="eastAsia" w:ascii="宋体" w:hAnsi="宋体" w:eastAsia="宋体" w:cs="宋体"/>
                <w:sz w:val="21"/>
                <w:szCs w:val="21"/>
              </w:rPr>
              <w:t>分）</w:t>
            </w:r>
          </w:p>
        </w:tc>
        <w:tc>
          <w:tcPr>
            <w:tcW w:w="981" w:type="dxa"/>
            <w:vAlign w:val="center"/>
          </w:tcPr>
          <w:p w14:paraId="3FDC22C9">
            <w:pPr>
              <w:pStyle w:val="5"/>
              <w:keepNext w:val="0"/>
              <w:keepLines w:val="0"/>
              <w:pageBreakBefore w:val="0"/>
              <w:widowControl w:val="0"/>
              <w:kinsoku/>
              <w:wordWrap/>
              <w:overflowPunct/>
              <w:bidi w:val="0"/>
              <w:snapToGrid/>
              <w:spacing w:after="0" w:line="276"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6958" w:type="dxa"/>
            <w:vAlign w:val="center"/>
          </w:tcPr>
          <w:p w14:paraId="6C54ADB0">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投标人项目组人员素质情况：</w:t>
            </w:r>
          </w:p>
          <w:p w14:paraId="1ABE297D">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1）项目组经理同时具有高级信息项目管理师证书、PMP、数据库系统工程师（中级或以上的）证书的得</w:t>
            </w:r>
            <w:r>
              <w:rPr>
                <w:rFonts w:hint="eastAsia" w:ascii="宋体" w:hAnsi="宋体" w:cs="宋体"/>
                <w:sz w:val="21"/>
                <w:szCs w:val="21"/>
                <w:lang w:val="en-US" w:eastAsia="zh-CN"/>
              </w:rPr>
              <w:t>4</w:t>
            </w:r>
            <w:r>
              <w:rPr>
                <w:rFonts w:hint="eastAsia" w:ascii="宋体" w:hAnsi="宋体" w:eastAsia="宋体" w:cs="宋体"/>
                <w:sz w:val="21"/>
                <w:szCs w:val="21"/>
              </w:rPr>
              <w:t>分，缺少任意一项，此项不得分；</w:t>
            </w:r>
          </w:p>
          <w:p w14:paraId="565370EC">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2）项目组成员同时具有统计专业技术资格证书的得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78FC5CD6">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3）项目组成员具有系统集成项目管理师证书的得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68B51D16">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4）项目组成员通过人力资源和社会保障部全国医保从业人员胜任力中级及以上考核的得</w:t>
            </w:r>
            <w:r>
              <w:rPr>
                <w:rFonts w:hint="eastAsia" w:ascii="宋体" w:hAnsi="宋体" w:cs="宋体"/>
                <w:sz w:val="21"/>
                <w:szCs w:val="21"/>
                <w:lang w:val="en-US" w:eastAsia="zh-CN"/>
              </w:rPr>
              <w:t>2</w:t>
            </w:r>
            <w:r>
              <w:rPr>
                <w:rFonts w:hint="eastAsia" w:ascii="宋体" w:hAnsi="宋体" w:eastAsia="宋体" w:cs="宋体"/>
                <w:sz w:val="21"/>
                <w:szCs w:val="21"/>
              </w:rPr>
              <w:t>分；</w:t>
            </w:r>
          </w:p>
          <w:p w14:paraId="03F3D6AC">
            <w:pPr>
              <w:pStyle w:val="5"/>
              <w:keepNext w:val="0"/>
              <w:keepLines w:val="0"/>
              <w:pageBreakBefore w:val="0"/>
              <w:widowControl w:val="0"/>
              <w:kinsoku/>
              <w:wordWrap/>
              <w:overflowPunct/>
              <w:bidi w:val="0"/>
              <w:snapToGrid/>
              <w:spacing w:after="0" w:line="276" w:lineRule="auto"/>
              <w:rPr>
                <w:rFonts w:hint="eastAsia" w:ascii="宋体" w:hAnsi="宋体" w:eastAsia="宋体" w:cs="宋体"/>
                <w:sz w:val="21"/>
                <w:szCs w:val="21"/>
              </w:rPr>
            </w:pPr>
            <w:r>
              <w:rPr>
                <w:rFonts w:hint="eastAsia" w:ascii="宋体" w:hAnsi="宋体" w:eastAsia="宋体" w:cs="宋体"/>
                <w:sz w:val="21"/>
                <w:szCs w:val="21"/>
              </w:rPr>
              <w:t>须提供符合上述要求人员的相关资质证书复印件及近三个月内在投标单位参保的社保缴费证明复印件，相同人员的证书不重复计分</w:t>
            </w:r>
          </w:p>
        </w:tc>
      </w:tr>
      <w:tr w14:paraId="5CE3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70" w:type="dxa"/>
            <w:vAlign w:val="center"/>
          </w:tcPr>
          <w:p w14:paraId="0C0BE454">
            <w:pPr>
              <w:pStyle w:val="5"/>
              <w:keepNext w:val="0"/>
              <w:keepLines w:val="0"/>
              <w:pageBreakBefore w:val="0"/>
              <w:widowControl w:val="0"/>
              <w:kinsoku/>
              <w:wordWrap/>
              <w:overflowPunct/>
              <w:bidi w:val="0"/>
              <w:snapToGrid/>
              <w:spacing w:after="0" w:line="276" w:lineRule="auto"/>
              <w:jc w:val="left"/>
              <w:rPr>
                <w:rFonts w:hint="eastAsia" w:ascii="宋体" w:hAnsi="宋体" w:eastAsia="宋体" w:cs="宋体"/>
                <w:sz w:val="21"/>
                <w:szCs w:val="21"/>
              </w:rPr>
            </w:pPr>
            <w:r>
              <w:rPr>
                <w:rFonts w:hint="eastAsia" w:ascii="宋体" w:hAnsi="宋体" w:eastAsia="宋体" w:cs="宋体"/>
                <w:sz w:val="21"/>
                <w:szCs w:val="21"/>
              </w:rPr>
              <w:t>同类项目业绩（</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981" w:type="dxa"/>
            <w:vAlign w:val="center"/>
          </w:tcPr>
          <w:p w14:paraId="02A467CD">
            <w:pPr>
              <w:pStyle w:val="5"/>
              <w:keepNext w:val="0"/>
              <w:keepLines w:val="0"/>
              <w:pageBreakBefore w:val="0"/>
              <w:widowControl w:val="0"/>
              <w:kinsoku/>
              <w:wordWrap/>
              <w:overflowPunct/>
              <w:bidi w:val="0"/>
              <w:snapToGrid/>
              <w:spacing w:after="0" w:line="276"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6958" w:type="dxa"/>
            <w:vAlign w:val="center"/>
          </w:tcPr>
          <w:p w14:paraId="392E1EF9">
            <w:pPr>
              <w:pStyle w:val="14"/>
              <w:keepNext w:val="0"/>
              <w:keepLines w:val="0"/>
              <w:pageBreakBefore w:val="0"/>
              <w:widowControl w:val="0"/>
              <w:kinsoku/>
              <w:wordWrap/>
              <w:overflowPunct/>
              <w:bidi w:val="0"/>
              <w:snapToGrid/>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提供2021年1月1日以来投标人</w:t>
            </w:r>
            <w:r>
              <w:rPr>
                <w:rFonts w:hint="eastAsia" w:hAnsi="宋体" w:cs="宋体"/>
                <w:color w:val="auto"/>
                <w:sz w:val="21"/>
                <w:szCs w:val="21"/>
                <w:lang w:eastAsia="zh-CN"/>
              </w:rPr>
              <w:t>医保</w:t>
            </w:r>
            <w:r>
              <w:rPr>
                <w:rFonts w:hint="eastAsia" w:hAnsi="宋体" w:cs="宋体"/>
                <w:color w:val="auto"/>
                <w:sz w:val="21"/>
                <w:szCs w:val="21"/>
                <w:lang w:val="en-US" w:eastAsia="zh-CN"/>
              </w:rPr>
              <w:t>DIP</w:t>
            </w:r>
            <w:r>
              <w:rPr>
                <w:rFonts w:hint="eastAsia" w:ascii="宋体" w:hAnsi="宋体" w:eastAsia="宋体" w:cs="宋体"/>
                <w:color w:val="auto"/>
                <w:sz w:val="21"/>
                <w:szCs w:val="21"/>
              </w:rPr>
              <w:t>项目案例证明资料。提供项目中标通知书、合同复印件，合同内容须包含“医保</w:t>
            </w:r>
            <w:r>
              <w:rPr>
                <w:rFonts w:hint="eastAsia" w:hAnsi="宋体" w:cs="宋体"/>
                <w:color w:val="auto"/>
                <w:sz w:val="21"/>
                <w:szCs w:val="21"/>
                <w:lang w:val="en-US" w:eastAsia="zh-CN"/>
              </w:rPr>
              <w:t>DIP</w:t>
            </w:r>
            <w:r>
              <w:rPr>
                <w:rFonts w:hint="eastAsia" w:ascii="宋体" w:hAnsi="宋体" w:eastAsia="宋体" w:cs="宋体"/>
                <w:color w:val="auto"/>
                <w:sz w:val="21"/>
                <w:szCs w:val="21"/>
              </w:rPr>
              <w:t>”关键字眼，缺少任何一项不得分。</w:t>
            </w:r>
          </w:p>
          <w:p w14:paraId="57B1B372">
            <w:pPr>
              <w:pStyle w:val="14"/>
              <w:keepNext w:val="0"/>
              <w:keepLines w:val="0"/>
              <w:pageBreakBefore w:val="0"/>
              <w:widowControl w:val="0"/>
              <w:kinsoku/>
              <w:wordWrap/>
              <w:overflowPunct/>
              <w:bidi w:val="0"/>
              <w:snapToGrid/>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每提供1家医院案例证明资料得1分，最多得</w:t>
            </w:r>
            <w:r>
              <w:rPr>
                <w:rFonts w:hint="eastAsia" w:hAnsi="宋体" w:cs="宋体"/>
                <w:color w:val="auto"/>
                <w:sz w:val="21"/>
                <w:szCs w:val="21"/>
                <w:lang w:val="en-US" w:eastAsia="zh-CN"/>
              </w:rPr>
              <w:t>5</w:t>
            </w:r>
            <w:r>
              <w:rPr>
                <w:rFonts w:hint="eastAsia" w:ascii="宋体" w:hAnsi="宋体" w:eastAsia="宋体" w:cs="宋体"/>
                <w:color w:val="auto"/>
                <w:sz w:val="21"/>
                <w:szCs w:val="21"/>
              </w:rPr>
              <w:t>分。</w:t>
            </w:r>
          </w:p>
          <w:p w14:paraId="6EB1148D">
            <w:pPr>
              <w:pStyle w:val="14"/>
              <w:keepNext w:val="0"/>
              <w:keepLines w:val="0"/>
              <w:pageBreakBefore w:val="0"/>
              <w:widowControl w:val="0"/>
              <w:kinsoku/>
              <w:wordWrap/>
              <w:overflowPunct/>
              <w:bidi w:val="0"/>
              <w:snapToGrid/>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中标通知书及合同原件备查。</w:t>
            </w:r>
          </w:p>
        </w:tc>
      </w:tr>
    </w:tbl>
    <w:p w14:paraId="5DE610F2">
      <w:pPr>
        <w:pStyle w:val="14"/>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
    </w:sdtPr>
    <w:sdtEndPr>
      <w:rPr>
        <w:rStyle w:val="13"/>
      </w:rPr>
    </w:sdtEndPr>
    <w:sdtContent>
      <w:p w14:paraId="6C1CB584">
        <w:pPr>
          <w:pStyle w:val="6"/>
          <w:framePr w:wrap="around" w:vAnchor="text" w:hAnchor="margin" w:xAlign="center" w:y="1"/>
          <w:ind w:firstLine="360"/>
          <w:rPr>
            <w:rStyle w:val="13"/>
          </w:rPr>
        </w:pP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p>
    </w:sdtContent>
  </w:sdt>
  <w:p w14:paraId="246C7647">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170541976"/>
    </w:sdtPr>
    <w:sdtEndPr>
      <w:rPr>
        <w:rStyle w:val="13"/>
      </w:rPr>
    </w:sdtEndPr>
    <w:sdtContent>
      <w:p w14:paraId="595133B2">
        <w:pPr>
          <w:pStyle w:val="6"/>
          <w:framePr w:wrap="around" w:vAnchor="text" w:hAnchor="margin" w:xAlign="center" w:y="1"/>
          <w:ind w:firstLine="360"/>
          <w:rPr>
            <w:rStyle w:val="13"/>
          </w:rPr>
        </w:pPr>
        <w:r>
          <w:rPr>
            <w:rStyle w:val="13"/>
          </w:rPr>
          <w:fldChar w:fldCharType="begin"/>
        </w:r>
        <w:r>
          <w:rPr>
            <w:rStyle w:val="13"/>
          </w:rPr>
          <w:instrText xml:space="preserve"> PAGE </w:instrText>
        </w:r>
        <w:r>
          <w:rPr>
            <w:rStyle w:val="13"/>
          </w:rPr>
          <w:fldChar w:fldCharType="end"/>
        </w:r>
      </w:p>
    </w:sdtContent>
  </w:sdt>
  <w:p w14:paraId="1B392AB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692110407"/>
    </w:sdtPr>
    <w:sdtEndPr>
      <w:rPr>
        <w:rStyle w:val="13"/>
      </w:rPr>
    </w:sdtEndPr>
    <w:sdtContent>
      <w:p w14:paraId="7E1D6F4F">
        <w:pPr>
          <w:pStyle w:val="6"/>
          <w:framePr w:wrap="around" w:vAnchor="text" w:hAnchor="margin" w:xAlign="center" w:y="1"/>
          <w:ind w:firstLine="360"/>
          <w:rPr>
            <w:rStyle w:val="13"/>
          </w:rPr>
        </w:pP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p>
    </w:sdtContent>
  </w:sdt>
  <w:p w14:paraId="4A441DEA">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1B93">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E1AF2">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968B5">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ABD7"/>
    <w:multiLevelType w:val="singleLevel"/>
    <w:tmpl w:val="8E70ABD7"/>
    <w:lvl w:ilvl="0" w:tentative="0">
      <w:start w:val="5"/>
      <w:numFmt w:val="chineseCounting"/>
      <w:suff w:val="nothing"/>
      <w:lvlText w:val="%1、"/>
      <w:lvlJc w:val="left"/>
      <w:rPr>
        <w:rFonts w:hint="eastAsia"/>
      </w:rPr>
    </w:lvl>
  </w:abstractNum>
  <w:abstractNum w:abstractNumId="1">
    <w:nsid w:val="600C1846"/>
    <w:multiLevelType w:val="singleLevel"/>
    <w:tmpl w:val="600C18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0D7B8E"/>
    <w:rsid w:val="012F4378"/>
    <w:rsid w:val="041B1889"/>
    <w:rsid w:val="06175254"/>
    <w:rsid w:val="07064FD3"/>
    <w:rsid w:val="071F0F65"/>
    <w:rsid w:val="07536155"/>
    <w:rsid w:val="08E056F9"/>
    <w:rsid w:val="09A6701A"/>
    <w:rsid w:val="0A670558"/>
    <w:rsid w:val="11052878"/>
    <w:rsid w:val="1585244F"/>
    <w:rsid w:val="173E100D"/>
    <w:rsid w:val="186F43FB"/>
    <w:rsid w:val="1930193F"/>
    <w:rsid w:val="1BAB0ADF"/>
    <w:rsid w:val="1CD4275A"/>
    <w:rsid w:val="20310BCB"/>
    <w:rsid w:val="20FD7003"/>
    <w:rsid w:val="226361DE"/>
    <w:rsid w:val="25BB0379"/>
    <w:rsid w:val="260B494A"/>
    <w:rsid w:val="26B70032"/>
    <w:rsid w:val="26D81BD8"/>
    <w:rsid w:val="27EB48B5"/>
    <w:rsid w:val="29C005A7"/>
    <w:rsid w:val="2A847061"/>
    <w:rsid w:val="30BF4FE5"/>
    <w:rsid w:val="30E3245E"/>
    <w:rsid w:val="31200E6A"/>
    <w:rsid w:val="336842EA"/>
    <w:rsid w:val="340D7B8E"/>
    <w:rsid w:val="36710963"/>
    <w:rsid w:val="38703ABC"/>
    <w:rsid w:val="3C432323"/>
    <w:rsid w:val="3E4F0142"/>
    <w:rsid w:val="3F713CF6"/>
    <w:rsid w:val="3F8C51B3"/>
    <w:rsid w:val="423473DA"/>
    <w:rsid w:val="44132AE2"/>
    <w:rsid w:val="46BA53B0"/>
    <w:rsid w:val="47CE0068"/>
    <w:rsid w:val="47F646ED"/>
    <w:rsid w:val="492919D0"/>
    <w:rsid w:val="534B1E16"/>
    <w:rsid w:val="53BF4A89"/>
    <w:rsid w:val="561C5F30"/>
    <w:rsid w:val="56EE2B4A"/>
    <w:rsid w:val="57E05CFF"/>
    <w:rsid w:val="59495972"/>
    <w:rsid w:val="6037300A"/>
    <w:rsid w:val="6330638F"/>
    <w:rsid w:val="65253C7F"/>
    <w:rsid w:val="65757142"/>
    <w:rsid w:val="682409AB"/>
    <w:rsid w:val="6AD13B15"/>
    <w:rsid w:val="6B652F41"/>
    <w:rsid w:val="71756946"/>
    <w:rsid w:val="71C36028"/>
    <w:rsid w:val="74EE4141"/>
    <w:rsid w:val="75876DE8"/>
    <w:rsid w:val="79E9735F"/>
    <w:rsid w:val="7A6A66F1"/>
    <w:rsid w:val="7C5F6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rFonts w:asciiTheme="minorAscii" w:hAnsiTheme="minorAscii"/>
      <w:b/>
      <w:kern w:val="44"/>
      <w:sz w:val="32"/>
    </w:rPr>
  </w:style>
  <w:style w:type="paragraph" w:styleId="3">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eastAsia="宋体"/>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unhideWhenUsed/>
    <w:qFormat/>
    <w:uiPriority w:val="99"/>
  </w:style>
  <w:style w:type="paragraph" w:customStyle="1" w:styleId="1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15">
    <w:name w:val="标题 1 Char"/>
    <w:link w:val="2"/>
    <w:qFormat/>
    <w:uiPriority w:val="0"/>
    <w:rPr>
      <w:rFonts w:asciiTheme="minorAscii" w:hAnsiTheme="minorAscii"/>
      <w:b/>
      <w:kern w:val="44"/>
      <w:sz w:val="32"/>
    </w:rPr>
  </w:style>
  <w:style w:type="character" w:customStyle="1" w:styleId="16">
    <w:name w:val="标题 2 Char"/>
    <w:link w:val="3"/>
    <w:qFormat/>
    <w:uiPriority w:val="0"/>
    <w:rPr>
      <w:rFonts w:ascii="Arial" w:hAnsi="Arial" w:eastAsia="宋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3832</Words>
  <Characters>3993</Characters>
  <Lines>0</Lines>
  <Paragraphs>0</Paragraphs>
  <TotalTime>14</TotalTime>
  <ScaleCrop>false</ScaleCrop>
  <LinksUpToDate>false</LinksUpToDate>
  <CharactersWithSpaces>4006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2025-06-05T07:09:00Z</dcterms:created>
  <dc:creator>WPS_1653617321</dc:creator>
  <cp:lastModifiedBy>邓</cp:lastModifiedBy>
  <dcterms:modified xsi:type="dcterms:W3CDTF">2025-06-13T23:46:20Z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557F9F7CE85D4BC286028DAA5A97ACCC_11</vt:lpwstr>
  </property>
  <property fmtid="{D5CDD505-2E9C-101B-9397-08002B2CF9AE}" pid="4" name="KSOTemplateDocerSaveRecord">
    <vt:lpwstr>eyJoZGlkIjoiYTU2MzczMDhkYjZkNGM2MDc4YzJlZmYyMmFkM2ZmM2YiLCJ1c2VySWQiOiIxMDMyMTg5NTY3In0=</vt:lpwstr>
  </property>
</Properties>
</file>